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94BE" w14:textId="77777777" w:rsidR="004D4FDC" w:rsidRPr="0097089B" w:rsidRDefault="004D4FDC" w:rsidP="00B479FE">
      <w:pPr>
        <w:jc w:val="center"/>
        <w:rPr>
          <w:rFonts w:ascii="Arial" w:hAnsi="Arial" w:cs="Arial"/>
          <w:b/>
          <w:bCs/>
        </w:rPr>
      </w:pPr>
    </w:p>
    <w:p w14:paraId="74C55335" w14:textId="639238A0" w:rsidR="00DF185C" w:rsidRDefault="00732F7F" w:rsidP="00C00CC5">
      <w:pPr>
        <w:rPr>
          <w:rFonts w:ascii="Arial" w:hAnsi="Arial" w:cs="Arial"/>
          <w:b/>
          <w:bCs/>
          <w:sz w:val="28"/>
          <w:szCs w:val="28"/>
        </w:rPr>
      </w:pPr>
      <w:r w:rsidRPr="0097089B">
        <w:rPr>
          <w:rFonts w:ascii="Arial" w:hAnsi="Arial" w:cs="Arial"/>
          <w:b/>
          <w:bCs/>
          <w:sz w:val="52"/>
          <w:szCs w:val="52"/>
        </w:rPr>
        <w:t xml:space="preserve">ASF </w:t>
      </w:r>
      <w:r w:rsidR="009E79CD">
        <w:rPr>
          <w:rFonts w:ascii="Arial" w:hAnsi="Arial" w:cs="Arial"/>
          <w:b/>
          <w:bCs/>
          <w:sz w:val="52"/>
          <w:szCs w:val="52"/>
        </w:rPr>
        <w:t xml:space="preserve">Market </w:t>
      </w:r>
      <w:r w:rsidRPr="0097089B">
        <w:rPr>
          <w:rFonts w:ascii="Arial" w:hAnsi="Arial" w:cs="Arial"/>
          <w:b/>
          <w:bCs/>
          <w:sz w:val="52"/>
          <w:szCs w:val="52"/>
        </w:rPr>
        <w:t xml:space="preserve">Guideline </w:t>
      </w:r>
      <w:r w:rsidR="006414D2">
        <w:rPr>
          <w:rFonts w:ascii="Arial" w:hAnsi="Arial" w:cs="Arial"/>
          <w:b/>
          <w:bCs/>
          <w:sz w:val="52"/>
          <w:szCs w:val="52"/>
        </w:rPr>
        <w:t>on BBSW fallback provisions</w:t>
      </w:r>
    </w:p>
    <w:p w14:paraId="665F657D" w14:textId="653BE977" w:rsidR="00DF185C" w:rsidRDefault="006414D2" w:rsidP="006F50F3">
      <w:pPr>
        <w:jc w:val="right"/>
        <w:rPr>
          <w:rFonts w:ascii="Arial" w:hAnsi="Arial" w:cs="Arial"/>
          <w:b/>
          <w:bCs/>
          <w:sz w:val="52"/>
          <w:szCs w:val="52"/>
        </w:rPr>
      </w:pPr>
      <w:r>
        <w:rPr>
          <w:rFonts w:ascii="Arial" w:hAnsi="Arial" w:cs="Arial"/>
          <w:b/>
          <w:bCs/>
          <w:sz w:val="28"/>
          <w:szCs w:val="28"/>
        </w:rPr>
        <w:t>November 2022</w:t>
      </w:r>
    </w:p>
    <w:p w14:paraId="13E7188A" w14:textId="77777777" w:rsidR="004D4FDC" w:rsidRPr="0097089B" w:rsidRDefault="004D4FDC" w:rsidP="0097089B">
      <w:pPr>
        <w:pBdr>
          <w:bottom w:val="single" w:sz="4" w:space="1" w:color="auto"/>
        </w:pBdr>
        <w:rPr>
          <w:rFonts w:ascii="Arial" w:hAnsi="Arial" w:cs="Arial"/>
        </w:rPr>
      </w:pPr>
    </w:p>
    <w:p w14:paraId="1BEBF0AE" w14:textId="77777777" w:rsidR="006414D2" w:rsidRDefault="006414D2" w:rsidP="006414D2">
      <w:pPr>
        <w:pStyle w:val="Heading1"/>
        <w:numPr>
          <w:ilvl w:val="0"/>
          <w:numId w:val="0"/>
        </w:numPr>
        <w:ind w:left="737"/>
        <w:rPr>
          <w:rFonts w:eastAsia="SimSun"/>
          <w:b/>
          <w:lang w:val="en-US"/>
        </w:rPr>
      </w:pPr>
    </w:p>
    <w:p w14:paraId="6543B0F9" w14:textId="2BDEC302" w:rsidR="006414D2" w:rsidRPr="00887921" w:rsidRDefault="006414D2" w:rsidP="006414D2">
      <w:pPr>
        <w:pStyle w:val="Heading1"/>
        <w:tabs>
          <w:tab w:val="clear" w:pos="1447"/>
          <w:tab w:val="num" w:pos="737"/>
        </w:tabs>
        <w:ind w:left="737"/>
        <w:rPr>
          <w:rFonts w:eastAsia="SimSun"/>
          <w:b/>
          <w:lang w:val="en-US"/>
        </w:rPr>
      </w:pPr>
      <w:r w:rsidRPr="00887921">
        <w:rPr>
          <w:rFonts w:eastAsia="SimSun"/>
          <w:b/>
          <w:lang w:val="en-US"/>
        </w:rPr>
        <w:t>Definition of BBSW</w:t>
      </w:r>
    </w:p>
    <w:p w14:paraId="70E932B8" w14:textId="77777777" w:rsidR="006414D2" w:rsidRDefault="006414D2" w:rsidP="006414D2">
      <w:pPr>
        <w:pStyle w:val="Indent2"/>
        <w:ind w:left="27"/>
        <w:rPr>
          <w:lang w:eastAsia="en-AU"/>
        </w:rPr>
      </w:pPr>
      <w:r w:rsidRPr="00481259">
        <w:rPr>
          <w:lang w:eastAsia="en-AU"/>
        </w:rPr>
        <w:t>“</w:t>
      </w:r>
      <w:r w:rsidRPr="00481259">
        <w:rPr>
          <w:b/>
          <w:lang w:eastAsia="en-AU"/>
        </w:rPr>
        <w:t>BBSW Rate</w:t>
      </w:r>
      <w:r w:rsidRPr="00481259">
        <w:rPr>
          <w:lang w:eastAsia="en-AU"/>
        </w:rPr>
        <w:t>”</w:t>
      </w:r>
      <w:r>
        <w:rPr>
          <w:rStyle w:val="EndnoteReference"/>
          <w:lang w:eastAsia="en-AU"/>
        </w:rPr>
        <w:endnoteReference w:id="1"/>
      </w:r>
      <w:r w:rsidRPr="00481259">
        <w:rPr>
          <w:lang w:eastAsia="en-AU"/>
        </w:rPr>
        <w:t xml:space="preserve"> means, for a</w:t>
      </w:r>
      <w:r>
        <w:rPr>
          <w:lang w:eastAsia="en-AU"/>
        </w:rPr>
        <w:t xml:space="preserve">n Interest Determination </w:t>
      </w:r>
      <w:r w:rsidRPr="00481259">
        <w:rPr>
          <w:lang w:eastAsia="en-AU"/>
        </w:rPr>
        <w:t>Date, subject to clause [#] (</w:t>
      </w:r>
      <w:r w:rsidRPr="00481259">
        <w:rPr>
          <w:i/>
          <w:iCs/>
          <w:lang w:eastAsia="en-AU"/>
        </w:rPr>
        <w:t xml:space="preserve">Temporary Disruption </w:t>
      </w:r>
      <w:r w:rsidRPr="00A735EA">
        <w:rPr>
          <w:i/>
          <w:iCs/>
          <w:lang w:eastAsia="en-AU"/>
        </w:rPr>
        <w:t>Fallback</w:t>
      </w:r>
      <w:r w:rsidRPr="00A735EA">
        <w:rPr>
          <w:lang w:eastAsia="en-AU"/>
        </w:rPr>
        <w:t>) and clause [#] (</w:t>
      </w:r>
      <w:r w:rsidRPr="00A735EA">
        <w:rPr>
          <w:i/>
          <w:iCs/>
          <w:lang w:eastAsia="en-AU"/>
        </w:rPr>
        <w:t>Permanent Discontinuation Fallback</w:t>
      </w:r>
      <w:r w:rsidRPr="00A735EA">
        <w:rPr>
          <w:lang w:eastAsia="en-AU"/>
        </w:rPr>
        <w:t xml:space="preserve">), the per annum rate expressed as a decimal </w:t>
      </w:r>
      <w:r>
        <w:rPr>
          <w:lang w:eastAsia="en-AU"/>
        </w:rPr>
        <w:t>which is</w:t>
      </w:r>
      <w:r w:rsidRPr="00A735EA">
        <w:rPr>
          <w:lang w:eastAsia="en-AU"/>
        </w:rPr>
        <w:t xml:space="preserve"> the level</w:t>
      </w:r>
      <w:r w:rsidRPr="006B3320">
        <w:rPr>
          <w:lang w:eastAsia="en-AU"/>
        </w:rPr>
        <w:t xml:space="preserve"> of </w:t>
      </w:r>
      <w:r>
        <w:rPr>
          <w:lang w:eastAsia="en-AU"/>
        </w:rPr>
        <w:t xml:space="preserve">BBSW </w:t>
      </w:r>
      <w:r w:rsidRPr="006B3320">
        <w:rPr>
          <w:lang w:eastAsia="en-AU"/>
        </w:rPr>
        <w:t xml:space="preserve">for a period of </w:t>
      </w:r>
      <w:r>
        <w:rPr>
          <w:lang w:eastAsia="en-AU"/>
        </w:rPr>
        <w:t xml:space="preserve">one month </w:t>
      </w:r>
      <w:r w:rsidRPr="006B3320">
        <w:rPr>
          <w:lang w:eastAsia="en-AU"/>
        </w:rPr>
        <w:t xml:space="preserve">provided by the Administrator and published as of the </w:t>
      </w:r>
      <w:r>
        <w:rPr>
          <w:lang w:eastAsia="en-AU"/>
        </w:rPr>
        <w:t>Publication</w:t>
      </w:r>
      <w:r w:rsidRPr="006B3320">
        <w:rPr>
          <w:lang w:eastAsia="en-AU"/>
        </w:rPr>
        <w:t xml:space="preserve"> Time </w:t>
      </w:r>
      <w:r>
        <w:rPr>
          <w:lang w:eastAsia="en-AU"/>
        </w:rPr>
        <w:t xml:space="preserve">on that Interest Determination </w:t>
      </w:r>
      <w:r w:rsidRPr="006B3320">
        <w:rPr>
          <w:lang w:eastAsia="en-AU"/>
        </w:rPr>
        <w:t>Da</w:t>
      </w:r>
      <w:r>
        <w:rPr>
          <w:lang w:eastAsia="en-AU"/>
        </w:rPr>
        <w:t>te.</w:t>
      </w:r>
    </w:p>
    <w:p w14:paraId="3D4BBD1F" w14:textId="77777777" w:rsidR="006414D2" w:rsidRPr="00887921" w:rsidRDefault="006414D2" w:rsidP="006414D2">
      <w:pPr>
        <w:pStyle w:val="Heading1"/>
        <w:ind w:left="737"/>
        <w:rPr>
          <w:rFonts w:eastAsia="SimSun"/>
          <w:b/>
          <w:lang w:val="en-US"/>
        </w:rPr>
      </w:pPr>
      <w:r>
        <w:rPr>
          <w:rFonts w:eastAsia="SimSun"/>
          <w:b/>
          <w:lang w:val="en-US"/>
        </w:rPr>
        <w:t>Temporary Disruption Fallback</w:t>
      </w:r>
    </w:p>
    <w:p w14:paraId="1DA326E8" w14:textId="77777777" w:rsidR="006414D2" w:rsidRDefault="006414D2" w:rsidP="006414D2">
      <w:pPr>
        <w:pStyle w:val="Heading1"/>
        <w:numPr>
          <w:ilvl w:val="0"/>
          <w:numId w:val="0"/>
        </w:numPr>
        <w:rPr>
          <w:lang w:eastAsia="en-AU"/>
        </w:rPr>
      </w:pPr>
      <w:r w:rsidRPr="00813920">
        <w:rPr>
          <w:lang w:eastAsia="en-AU"/>
        </w:rPr>
        <w:t xml:space="preserve">Subject to </w:t>
      </w:r>
      <w:r>
        <w:rPr>
          <w:lang w:eastAsia="en-AU"/>
        </w:rPr>
        <w:t>clause [#] (</w:t>
      </w:r>
      <w:r w:rsidRPr="00481259">
        <w:rPr>
          <w:i/>
          <w:iCs/>
          <w:lang w:eastAsia="en-AU"/>
        </w:rPr>
        <w:t>Permanent Discontinuation Fallback</w:t>
      </w:r>
      <w:r>
        <w:rPr>
          <w:lang w:eastAsia="en-AU"/>
        </w:rPr>
        <w:t>)</w:t>
      </w:r>
      <w:r w:rsidRPr="00813920">
        <w:rPr>
          <w:lang w:eastAsia="en-AU"/>
        </w:rPr>
        <w:t xml:space="preserve">, if a Temporary </w:t>
      </w:r>
      <w:r>
        <w:rPr>
          <w:lang w:eastAsia="en-AU"/>
        </w:rPr>
        <w:t>Disruption</w:t>
      </w:r>
      <w:r w:rsidRPr="00813920">
        <w:rPr>
          <w:lang w:eastAsia="en-AU"/>
        </w:rPr>
        <w:t xml:space="preserve"> Trigger occurs</w:t>
      </w:r>
      <w:r>
        <w:rPr>
          <w:lang w:eastAsia="en-AU"/>
        </w:rPr>
        <w:t xml:space="preserve"> </w:t>
      </w:r>
      <w:r w:rsidRPr="004158A7">
        <w:rPr>
          <w:lang w:eastAsia="en-AU"/>
        </w:rPr>
        <w:t xml:space="preserve">in respect of an Applicable Benchmark Rate, the rate for any day for which that Temporary Disruption Trigger is continuing and that Applicable Benchmark Rate is required will be </w:t>
      </w:r>
      <w:r>
        <w:rPr>
          <w:lang w:eastAsia="en-AU"/>
        </w:rPr>
        <w:t xml:space="preserve">the rate </w:t>
      </w:r>
      <w:r w:rsidRPr="004158A7">
        <w:rPr>
          <w:lang w:eastAsia="en-AU"/>
        </w:rPr>
        <w:t>determined in accordance with the Temporary Disruption Fallback for that Applicable Benchmark Rate.</w:t>
      </w:r>
    </w:p>
    <w:p w14:paraId="17184130" w14:textId="77777777" w:rsidR="006414D2" w:rsidRPr="00887921" w:rsidRDefault="006414D2" w:rsidP="006414D2">
      <w:pPr>
        <w:pStyle w:val="Heading1"/>
        <w:ind w:left="737"/>
        <w:rPr>
          <w:rFonts w:eastAsia="SimSun"/>
          <w:b/>
          <w:lang w:val="en-US"/>
        </w:rPr>
      </w:pPr>
      <w:r>
        <w:rPr>
          <w:rFonts w:eastAsia="SimSun"/>
          <w:b/>
          <w:lang w:val="en-US"/>
        </w:rPr>
        <w:t>Permanent Discontinuation Fallback</w:t>
      </w:r>
    </w:p>
    <w:p w14:paraId="18899D0A" w14:textId="77777777" w:rsidR="006414D2" w:rsidRDefault="006414D2" w:rsidP="006414D2">
      <w:pPr>
        <w:pStyle w:val="Heading1"/>
        <w:numPr>
          <w:ilvl w:val="0"/>
          <w:numId w:val="0"/>
        </w:numPr>
        <w:rPr>
          <w:lang w:eastAsia="en-AU"/>
        </w:rPr>
      </w:pPr>
      <w:r>
        <w:rPr>
          <w:lang w:eastAsia="en-AU"/>
        </w:rPr>
        <w:t>I</w:t>
      </w:r>
      <w:r w:rsidRPr="00813920">
        <w:rPr>
          <w:lang w:eastAsia="en-AU"/>
        </w:rPr>
        <w:t xml:space="preserve">f a </w:t>
      </w:r>
      <w:r w:rsidRPr="008507D8">
        <w:rPr>
          <w:lang w:eastAsia="en-AU"/>
        </w:rPr>
        <w:t xml:space="preserve">Permanent Discontinuation </w:t>
      </w:r>
      <w:r w:rsidRPr="00813920">
        <w:rPr>
          <w:lang w:eastAsia="en-AU"/>
        </w:rPr>
        <w:t>Trigger occurs</w:t>
      </w:r>
      <w:r>
        <w:rPr>
          <w:lang w:eastAsia="en-AU"/>
        </w:rPr>
        <w:t xml:space="preserve"> in respect of an Applicable Benchmark Rate</w:t>
      </w:r>
      <w:r w:rsidRPr="00813920">
        <w:rPr>
          <w:lang w:eastAsia="en-AU"/>
        </w:rPr>
        <w:t xml:space="preserve">, the rate for any </w:t>
      </w:r>
      <w:r>
        <w:rPr>
          <w:lang w:eastAsia="en-AU"/>
        </w:rPr>
        <w:t>Interest Determination Date</w:t>
      </w:r>
      <w:r w:rsidRPr="00813920">
        <w:rPr>
          <w:lang w:eastAsia="en-AU"/>
        </w:rPr>
        <w:t xml:space="preserve"> </w:t>
      </w:r>
      <w:r>
        <w:rPr>
          <w:lang w:eastAsia="en-AU"/>
        </w:rPr>
        <w:t xml:space="preserve">which occurs on or following the applicable Permanent Fallback Effective Date </w:t>
      </w:r>
      <w:r w:rsidRPr="00C363B8">
        <w:rPr>
          <w:lang w:eastAsia="en-AU"/>
        </w:rPr>
        <w:t>will be</w:t>
      </w:r>
      <w:r>
        <w:rPr>
          <w:lang w:eastAsia="en-AU"/>
        </w:rPr>
        <w:t xml:space="preserve"> the Fallback Rate</w:t>
      </w:r>
      <w:r w:rsidRPr="00C363B8">
        <w:rPr>
          <w:lang w:eastAsia="en-AU"/>
        </w:rPr>
        <w:t xml:space="preserve"> determined in accordance with the </w:t>
      </w:r>
      <w:r>
        <w:rPr>
          <w:lang w:eastAsia="en-AU"/>
        </w:rPr>
        <w:t>Permanent</w:t>
      </w:r>
      <w:r w:rsidRPr="00C363B8">
        <w:rPr>
          <w:lang w:eastAsia="en-AU"/>
        </w:rPr>
        <w:t xml:space="preserve"> </w:t>
      </w:r>
      <w:r>
        <w:rPr>
          <w:lang w:eastAsia="en-AU"/>
        </w:rPr>
        <w:t>Discontinuation</w:t>
      </w:r>
      <w:r w:rsidRPr="00C363B8">
        <w:rPr>
          <w:lang w:eastAsia="en-AU"/>
        </w:rPr>
        <w:t xml:space="preserve"> Fallback</w:t>
      </w:r>
      <w:r>
        <w:rPr>
          <w:lang w:eastAsia="en-AU"/>
        </w:rPr>
        <w:t xml:space="preserve"> for that Applicable Benchmark Rate</w:t>
      </w:r>
      <w:r w:rsidRPr="00C363B8">
        <w:rPr>
          <w:lang w:eastAsia="en-AU"/>
        </w:rPr>
        <w:t>.</w:t>
      </w:r>
    </w:p>
    <w:p w14:paraId="725A50DC" w14:textId="77777777" w:rsidR="006414D2" w:rsidRPr="00B01EB0" w:rsidRDefault="006414D2" w:rsidP="006414D2">
      <w:pPr>
        <w:pStyle w:val="Heading1"/>
        <w:ind w:left="737"/>
        <w:rPr>
          <w:rFonts w:eastAsia="SimSun"/>
          <w:b/>
          <w:lang w:val="en-US"/>
        </w:rPr>
      </w:pPr>
      <w:r>
        <w:rPr>
          <w:rFonts w:eastAsia="SimSun"/>
          <w:b/>
          <w:lang w:val="en-US"/>
        </w:rPr>
        <w:t>Decisions and determinations are final and conclusive</w:t>
      </w:r>
    </w:p>
    <w:p w14:paraId="0DDD0C06" w14:textId="77777777" w:rsidR="006414D2" w:rsidRDefault="006414D2" w:rsidP="006414D2">
      <w:pPr>
        <w:pStyle w:val="Heading1"/>
        <w:numPr>
          <w:ilvl w:val="0"/>
          <w:numId w:val="0"/>
        </w:numPr>
        <w:rPr>
          <w:lang w:eastAsia="en-AU"/>
        </w:rPr>
      </w:pPr>
      <w:r>
        <w:rPr>
          <w:lang w:eastAsia="en-AU"/>
        </w:rPr>
        <w:t xml:space="preserve">All determinations, decisions, calculations, </w:t>
      </w:r>
      <w:proofErr w:type="gramStart"/>
      <w:r>
        <w:rPr>
          <w:lang w:eastAsia="en-AU"/>
        </w:rPr>
        <w:t>settings</w:t>
      </w:r>
      <w:proofErr w:type="gramEnd"/>
      <w:r>
        <w:rPr>
          <w:lang w:eastAsia="en-AU"/>
        </w:rPr>
        <w:t xml:space="preserve"> and elections required by [this </w:t>
      </w:r>
      <w:r w:rsidRPr="00481259">
        <w:rPr>
          <w:lang w:eastAsia="en-AU"/>
        </w:rPr>
        <w:t>clause [#]</w:t>
      </w:r>
      <w:r>
        <w:rPr>
          <w:lang w:eastAsia="en-AU"/>
        </w:rPr>
        <w:t>] and any related definitions are to be made by the [Calculation Agent].  Any such determination, decision, calculation, setting or election, including (without limitation) any determination with respect to the level of a benchmark, rate or spread, the adjustment of a benchmark, rate or spread or of the occurrence or non-occurrence of an event, circumstance or date and any decision to take or refrain from taking any action, will be conclusive and binding absent manifest error, may be made in the [Calculation Agent]’s sole discretion and, notwithstanding anything to the contrary in [the Transaction Documents], will become effective as made without any requirement for the consent or approval of [Noteholders] any other person.</w:t>
      </w:r>
    </w:p>
    <w:p w14:paraId="7422FEA5" w14:textId="77777777" w:rsidR="006414D2" w:rsidRPr="00B01EB0" w:rsidRDefault="006414D2" w:rsidP="006414D2">
      <w:pPr>
        <w:pStyle w:val="Heading1"/>
        <w:ind w:left="737"/>
        <w:rPr>
          <w:rFonts w:eastAsia="SimSun"/>
          <w:b/>
          <w:lang w:val="en-US"/>
        </w:rPr>
      </w:pPr>
      <w:r w:rsidRPr="00B01EB0">
        <w:rPr>
          <w:rFonts w:eastAsia="SimSun"/>
          <w:b/>
          <w:lang w:val="en-US"/>
        </w:rPr>
        <w:t>Other provisions</w:t>
      </w:r>
    </w:p>
    <w:p w14:paraId="7D8FF02E" w14:textId="77777777" w:rsidR="006414D2" w:rsidRPr="00A3354D" w:rsidRDefault="006414D2" w:rsidP="006414D2">
      <w:pPr>
        <w:pStyle w:val="Heading1"/>
        <w:numPr>
          <w:ilvl w:val="0"/>
          <w:numId w:val="0"/>
        </w:numPr>
        <w:rPr>
          <w:i/>
          <w:iCs/>
          <w:lang w:eastAsia="en-AU"/>
        </w:rPr>
      </w:pPr>
      <w:r>
        <w:rPr>
          <w:lang w:eastAsia="en-AU"/>
        </w:rPr>
        <w:t>[</w:t>
      </w:r>
      <w:r w:rsidRPr="00687819">
        <w:rPr>
          <w:i/>
          <w:iCs/>
          <w:lang w:eastAsia="en-AU"/>
        </w:rPr>
        <w:t>This drafting includes key provisions to be included in the “Interest Rate” provisions of the Note Deed Poll (or equivalent).  It assumes that these provisions already include the basic rate infrastructure (such as the calculation of the “Interest Rate” as</w:t>
      </w:r>
      <w:r>
        <w:rPr>
          <w:i/>
          <w:iCs/>
          <w:lang w:eastAsia="en-AU"/>
        </w:rPr>
        <w:t xml:space="preserve">, </w:t>
      </w:r>
      <w:r w:rsidRPr="00687819">
        <w:rPr>
          <w:i/>
          <w:iCs/>
          <w:lang w:eastAsia="en-AU"/>
        </w:rPr>
        <w:t>for example</w:t>
      </w:r>
      <w:r>
        <w:rPr>
          <w:i/>
          <w:iCs/>
          <w:lang w:eastAsia="en-AU"/>
        </w:rPr>
        <w:t>,</w:t>
      </w:r>
      <w:r w:rsidRPr="00687819">
        <w:rPr>
          <w:i/>
          <w:iCs/>
          <w:lang w:eastAsia="en-AU"/>
        </w:rPr>
        <w:t xml:space="preserve"> a reference rate plus a margin)</w:t>
      </w:r>
      <w:r>
        <w:rPr>
          <w:i/>
          <w:iCs/>
          <w:lang w:eastAsia="en-AU"/>
        </w:rPr>
        <w:t xml:space="preserve">.  These </w:t>
      </w:r>
      <w:r w:rsidRPr="00687819">
        <w:rPr>
          <w:i/>
          <w:iCs/>
          <w:lang w:eastAsia="en-AU"/>
        </w:rPr>
        <w:t>provisions are</w:t>
      </w:r>
      <w:r>
        <w:rPr>
          <w:i/>
          <w:iCs/>
          <w:lang w:eastAsia="en-AU"/>
        </w:rPr>
        <w:t xml:space="preserve"> to be</w:t>
      </w:r>
      <w:r w:rsidRPr="00687819">
        <w:rPr>
          <w:i/>
          <w:iCs/>
          <w:lang w:eastAsia="en-AU"/>
        </w:rPr>
        <w:t xml:space="preserve"> included to replace and supplement the reference rate provisions </w:t>
      </w:r>
      <w:r>
        <w:rPr>
          <w:i/>
          <w:iCs/>
          <w:lang w:eastAsia="en-AU"/>
        </w:rPr>
        <w:t>within</w:t>
      </w:r>
      <w:r w:rsidRPr="00687819">
        <w:rPr>
          <w:i/>
          <w:iCs/>
          <w:lang w:eastAsia="en-AU"/>
        </w:rPr>
        <w:t xml:space="preserve"> that </w:t>
      </w:r>
      <w:r>
        <w:rPr>
          <w:i/>
          <w:iCs/>
          <w:lang w:eastAsia="en-AU"/>
        </w:rPr>
        <w:lastRenderedPageBreak/>
        <w:t>infrastructure</w:t>
      </w:r>
      <w:r w:rsidRPr="00687819">
        <w:rPr>
          <w:i/>
          <w:iCs/>
          <w:lang w:eastAsia="en-AU"/>
        </w:rPr>
        <w:t>.</w:t>
      </w:r>
      <w:r>
        <w:rPr>
          <w:i/>
          <w:iCs/>
          <w:lang w:eastAsia="en-AU"/>
        </w:rPr>
        <w:t xml:space="preserve">  Parties should ensure that the required infrastructure is included in their documents before adding these provisions.  In addition, parties should ensure that their infrastructure includes relevant supporting provisions,</w:t>
      </w:r>
      <w:r w:rsidRPr="00A3354D">
        <w:rPr>
          <w:i/>
          <w:iCs/>
          <w:lang w:eastAsia="en-AU"/>
        </w:rPr>
        <w:t xml:space="preserve"> such as:</w:t>
      </w:r>
    </w:p>
    <w:p w14:paraId="15FE18D0" w14:textId="77777777" w:rsidR="006414D2" w:rsidRPr="008750E6" w:rsidRDefault="006414D2" w:rsidP="006414D2">
      <w:pPr>
        <w:pStyle w:val="Heading1"/>
        <w:numPr>
          <w:ilvl w:val="0"/>
          <w:numId w:val="0"/>
        </w:numPr>
        <w:ind w:left="737" w:hanging="737"/>
        <w:rPr>
          <w:i/>
          <w:iCs/>
          <w:lang w:eastAsia="en-AU"/>
        </w:rPr>
      </w:pPr>
      <w:r w:rsidRPr="008750E6">
        <w:rPr>
          <w:i/>
          <w:iCs/>
          <w:lang w:eastAsia="en-AU"/>
        </w:rPr>
        <w:t>(a)</w:t>
      </w:r>
      <w:r w:rsidRPr="008750E6">
        <w:rPr>
          <w:i/>
          <w:iCs/>
          <w:lang w:eastAsia="en-AU"/>
        </w:rPr>
        <w:tab/>
        <w:t xml:space="preserve">provisions requiring notification of rate of changes effected in accordance with the fallback provisions </w:t>
      </w:r>
      <w:r>
        <w:rPr>
          <w:i/>
          <w:iCs/>
          <w:lang w:eastAsia="en-AU"/>
        </w:rPr>
        <w:t xml:space="preserve">be given </w:t>
      </w:r>
      <w:r w:rsidRPr="008750E6">
        <w:rPr>
          <w:i/>
          <w:iCs/>
          <w:lang w:eastAsia="en-AU"/>
        </w:rPr>
        <w:t>to noteholders and each designated rating agency;</w:t>
      </w:r>
    </w:p>
    <w:p w14:paraId="500AA007" w14:textId="77777777" w:rsidR="006414D2" w:rsidRPr="008750E6" w:rsidRDefault="006414D2" w:rsidP="006414D2">
      <w:pPr>
        <w:pStyle w:val="Heading1"/>
        <w:numPr>
          <w:ilvl w:val="0"/>
          <w:numId w:val="0"/>
        </w:numPr>
        <w:ind w:left="737" w:hanging="737"/>
        <w:rPr>
          <w:i/>
          <w:iCs/>
          <w:lang w:eastAsia="en-AU"/>
        </w:rPr>
      </w:pPr>
      <w:r w:rsidRPr="008750E6">
        <w:rPr>
          <w:i/>
          <w:iCs/>
          <w:lang w:eastAsia="en-AU"/>
        </w:rPr>
        <w:t>(b)</w:t>
      </w:r>
      <w:r w:rsidRPr="008750E6">
        <w:rPr>
          <w:i/>
          <w:iCs/>
          <w:lang w:eastAsia="en-AU"/>
        </w:rPr>
        <w:tab/>
        <w:t xml:space="preserve">provisions </w:t>
      </w:r>
      <w:r>
        <w:rPr>
          <w:i/>
          <w:iCs/>
          <w:lang w:eastAsia="en-AU"/>
        </w:rPr>
        <w:t>permitting the making of</w:t>
      </w:r>
      <w:r w:rsidRPr="008750E6">
        <w:rPr>
          <w:i/>
          <w:iCs/>
          <w:lang w:eastAsia="en-AU"/>
        </w:rPr>
        <w:t xml:space="preserve"> consequential amendment/tidy up rights without consent;</w:t>
      </w:r>
    </w:p>
    <w:p w14:paraId="42AA1CC9" w14:textId="77777777" w:rsidR="006414D2" w:rsidRDefault="006414D2" w:rsidP="006414D2">
      <w:pPr>
        <w:pStyle w:val="Heading1"/>
        <w:numPr>
          <w:ilvl w:val="0"/>
          <w:numId w:val="0"/>
        </w:numPr>
        <w:ind w:left="737" w:hanging="737"/>
        <w:rPr>
          <w:i/>
          <w:iCs/>
          <w:lang w:eastAsia="en-AU"/>
        </w:rPr>
      </w:pPr>
      <w:r w:rsidRPr="008750E6">
        <w:rPr>
          <w:i/>
          <w:iCs/>
          <w:lang w:eastAsia="en-AU"/>
        </w:rPr>
        <w:t>(c)</w:t>
      </w:r>
      <w:r w:rsidRPr="008750E6">
        <w:rPr>
          <w:i/>
          <w:iCs/>
          <w:lang w:eastAsia="en-AU"/>
        </w:rPr>
        <w:tab/>
      </w:r>
      <w:r>
        <w:rPr>
          <w:i/>
          <w:iCs/>
          <w:lang w:eastAsia="en-AU"/>
        </w:rPr>
        <w:t xml:space="preserve">appropriate </w:t>
      </w:r>
      <w:r w:rsidRPr="008750E6">
        <w:rPr>
          <w:i/>
          <w:iCs/>
          <w:lang w:eastAsia="en-AU"/>
        </w:rPr>
        <w:t>rounding provisions</w:t>
      </w:r>
      <w:r>
        <w:rPr>
          <w:i/>
          <w:iCs/>
          <w:lang w:eastAsia="en-AU"/>
        </w:rPr>
        <w:t>; and</w:t>
      </w:r>
    </w:p>
    <w:p w14:paraId="131F289C" w14:textId="77777777" w:rsidR="006414D2" w:rsidRDefault="006414D2" w:rsidP="006414D2">
      <w:pPr>
        <w:pStyle w:val="Heading1"/>
        <w:numPr>
          <w:ilvl w:val="0"/>
          <w:numId w:val="0"/>
        </w:numPr>
        <w:ind w:left="737" w:hanging="737"/>
        <w:rPr>
          <w:i/>
          <w:iCs/>
          <w:lang w:eastAsia="en-AU"/>
        </w:rPr>
      </w:pPr>
      <w:r>
        <w:rPr>
          <w:i/>
          <w:iCs/>
          <w:lang w:eastAsia="en-AU"/>
        </w:rPr>
        <w:t>(d)</w:t>
      </w:r>
      <w:r>
        <w:rPr>
          <w:i/>
          <w:iCs/>
          <w:lang w:eastAsia="en-AU"/>
        </w:rPr>
        <w:tab/>
        <w:t>appropriate business day definitions and provisions.</w:t>
      </w:r>
    </w:p>
    <w:p w14:paraId="2D659721" w14:textId="77777777" w:rsidR="006414D2" w:rsidRDefault="006414D2" w:rsidP="006414D2">
      <w:pPr>
        <w:pStyle w:val="Heading1"/>
        <w:numPr>
          <w:ilvl w:val="0"/>
          <w:numId w:val="0"/>
        </w:numPr>
        <w:rPr>
          <w:lang w:eastAsia="en-AU"/>
        </w:rPr>
      </w:pPr>
      <w:r>
        <w:rPr>
          <w:i/>
          <w:iCs/>
          <w:lang w:eastAsia="en-AU"/>
        </w:rPr>
        <w:t xml:space="preserve">Parties may also wish to consider whether to include </w:t>
      </w:r>
      <w:r w:rsidRPr="00A3354D">
        <w:rPr>
          <w:i/>
          <w:iCs/>
          <w:lang w:eastAsia="en-AU"/>
        </w:rPr>
        <w:t>additional/alternative amendment provisions</w:t>
      </w:r>
      <w:r>
        <w:rPr>
          <w:i/>
          <w:iCs/>
          <w:lang w:eastAsia="en-AU"/>
        </w:rPr>
        <w:t xml:space="preserve"> </w:t>
      </w:r>
      <w:r w:rsidRPr="00A3354D">
        <w:rPr>
          <w:i/>
          <w:iCs/>
          <w:lang w:eastAsia="en-AU"/>
        </w:rPr>
        <w:t xml:space="preserve">for </w:t>
      </w:r>
      <w:r>
        <w:rPr>
          <w:i/>
          <w:iCs/>
          <w:lang w:eastAsia="en-AU"/>
        </w:rPr>
        <w:t xml:space="preserve">additional </w:t>
      </w:r>
      <w:r w:rsidRPr="00A3354D">
        <w:rPr>
          <w:i/>
          <w:iCs/>
          <w:lang w:eastAsia="en-AU"/>
        </w:rPr>
        <w:t xml:space="preserve">future proofing – </w:t>
      </w:r>
      <w:r>
        <w:rPr>
          <w:i/>
          <w:iCs/>
          <w:lang w:eastAsia="en-AU"/>
        </w:rPr>
        <w:t>for example</w:t>
      </w:r>
      <w:r w:rsidRPr="00A3354D">
        <w:rPr>
          <w:i/>
          <w:iCs/>
          <w:lang w:eastAsia="en-AU"/>
        </w:rPr>
        <w:t xml:space="preserve"> a </w:t>
      </w:r>
      <w:proofErr w:type="gramStart"/>
      <w:r w:rsidRPr="00A3354D">
        <w:rPr>
          <w:i/>
          <w:iCs/>
          <w:lang w:eastAsia="en-AU"/>
        </w:rPr>
        <w:t xml:space="preserve">veto </w:t>
      </w:r>
      <w:r>
        <w:rPr>
          <w:i/>
          <w:iCs/>
          <w:lang w:eastAsia="en-AU"/>
        </w:rPr>
        <w:t>based</w:t>
      </w:r>
      <w:proofErr w:type="gramEnd"/>
      <w:r>
        <w:rPr>
          <w:i/>
          <w:iCs/>
          <w:lang w:eastAsia="en-AU"/>
        </w:rPr>
        <w:t xml:space="preserve"> amendment right for future benchmark developments/</w:t>
      </w:r>
      <w:r w:rsidRPr="00A3354D">
        <w:rPr>
          <w:i/>
          <w:iCs/>
          <w:lang w:eastAsia="en-AU"/>
        </w:rPr>
        <w:t>material change to market practices</w:t>
      </w:r>
      <w:r>
        <w:rPr>
          <w:i/>
          <w:iCs/>
          <w:lang w:eastAsia="en-AU"/>
        </w:rPr>
        <w:t>,</w:t>
      </w:r>
      <w:r w:rsidRPr="00A3354D">
        <w:rPr>
          <w:i/>
          <w:iCs/>
          <w:lang w:eastAsia="en-AU"/>
        </w:rPr>
        <w:t xml:space="preserve"> rather than </w:t>
      </w:r>
      <w:r>
        <w:rPr>
          <w:i/>
          <w:iCs/>
          <w:lang w:eastAsia="en-AU"/>
        </w:rPr>
        <w:t xml:space="preserve">relying solely on a traditional </w:t>
      </w:r>
      <w:r w:rsidRPr="00A3354D">
        <w:rPr>
          <w:i/>
          <w:iCs/>
          <w:lang w:eastAsia="en-AU"/>
        </w:rPr>
        <w:t>consent based amendment right</w:t>
      </w:r>
      <w:r>
        <w:rPr>
          <w:i/>
          <w:iCs/>
          <w:lang w:eastAsia="en-AU"/>
        </w:rPr>
        <w:t>.</w:t>
      </w:r>
      <w:r w:rsidRPr="009E18AE">
        <w:rPr>
          <w:lang w:eastAsia="en-AU"/>
        </w:rPr>
        <w:t>]</w:t>
      </w:r>
    </w:p>
    <w:p w14:paraId="2D639825" w14:textId="77777777" w:rsidR="006414D2" w:rsidRPr="00D34DBD" w:rsidRDefault="006414D2" w:rsidP="006414D2">
      <w:pPr>
        <w:pStyle w:val="Heading1"/>
        <w:keepNext/>
        <w:ind w:left="737"/>
        <w:rPr>
          <w:rFonts w:eastAsia="SimSun"/>
          <w:b/>
          <w:lang w:val="en-US"/>
        </w:rPr>
      </w:pPr>
      <w:r>
        <w:rPr>
          <w:rFonts w:eastAsia="SimSun"/>
          <w:b/>
          <w:lang w:val="en-US"/>
        </w:rPr>
        <w:t>Other d</w:t>
      </w:r>
      <w:r w:rsidRPr="008172AD">
        <w:rPr>
          <w:rFonts w:eastAsia="SimSun"/>
          <w:b/>
          <w:lang w:val="en-US"/>
        </w:rPr>
        <w:t>efinitions</w:t>
      </w:r>
      <w:r>
        <w:rPr>
          <w:rFonts w:eastAsia="SimSun"/>
          <w:b/>
          <w:lang w:val="en-US"/>
        </w:rPr>
        <w:t xml:space="preserve"> </w:t>
      </w:r>
    </w:p>
    <w:p w14:paraId="60D07E09" w14:textId="77777777" w:rsidR="006414D2" w:rsidRDefault="006414D2" w:rsidP="006414D2">
      <w:pPr>
        <w:pStyle w:val="Heading1"/>
        <w:numPr>
          <w:ilvl w:val="0"/>
          <w:numId w:val="0"/>
        </w:numPr>
        <w:rPr>
          <w:lang w:eastAsia="en-AU"/>
        </w:rPr>
      </w:pPr>
      <w:r w:rsidRPr="00971B7C">
        <w:rPr>
          <w:lang w:eastAsia="en-AU"/>
        </w:rPr>
        <w:t>“</w:t>
      </w:r>
      <w:r w:rsidRPr="00971B7C">
        <w:rPr>
          <w:b/>
          <w:bCs/>
          <w:lang w:eastAsia="en-AU"/>
        </w:rPr>
        <w:t>Adjustment Spread</w:t>
      </w:r>
      <w:r w:rsidRPr="00971B7C">
        <w:rPr>
          <w:lang w:eastAsia="en-AU"/>
        </w:rPr>
        <w:t>” means</w:t>
      </w:r>
      <w:r w:rsidRPr="00127542">
        <w:rPr>
          <w:lang w:eastAsia="en-AU"/>
        </w:rPr>
        <w:t xml:space="preserve"> </w:t>
      </w:r>
      <w:r>
        <w:rPr>
          <w:lang w:eastAsia="en-AU"/>
        </w:rPr>
        <w:t>the</w:t>
      </w:r>
      <w:r w:rsidRPr="00971B7C">
        <w:rPr>
          <w:lang w:eastAsia="en-AU"/>
        </w:rPr>
        <w:t xml:space="preserve"> adjustment spread</w:t>
      </w:r>
      <w:r>
        <w:rPr>
          <w:lang w:eastAsia="en-AU"/>
        </w:rPr>
        <w:t xml:space="preserve"> as at the Adjustment Spread Fixing Date</w:t>
      </w:r>
      <w:r w:rsidRPr="00971B7C">
        <w:rPr>
          <w:lang w:eastAsia="en-AU"/>
        </w:rPr>
        <w:t xml:space="preserve"> (which may be a positive or negative value or </w:t>
      </w:r>
      <w:r w:rsidRPr="004B1BF6">
        <w:rPr>
          <w:lang w:eastAsia="en-AU"/>
        </w:rPr>
        <w:t>zero and determined pursuant to a formula or methodology) that</w:t>
      </w:r>
      <w:r w:rsidRPr="00971B7C">
        <w:rPr>
          <w:lang w:eastAsia="en-AU"/>
        </w:rPr>
        <w:t xml:space="preserve"> is</w:t>
      </w:r>
      <w:r>
        <w:rPr>
          <w:lang w:eastAsia="en-AU"/>
        </w:rPr>
        <w:t>:</w:t>
      </w:r>
    </w:p>
    <w:p w14:paraId="397FFAC2" w14:textId="77777777" w:rsidR="006414D2" w:rsidRDefault="006414D2" w:rsidP="006414D2">
      <w:pPr>
        <w:pStyle w:val="Heading1"/>
        <w:numPr>
          <w:ilvl w:val="0"/>
          <w:numId w:val="0"/>
        </w:numPr>
        <w:ind w:left="737" w:hanging="737"/>
        <w:rPr>
          <w:lang w:eastAsia="en-AU"/>
        </w:rPr>
      </w:pPr>
      <w:r>
        <w:rPr>
          <w:lang w:eastAsia="en-AU"/>
        </w:rPr>
        <w:t>(a)</w:t>
      </w:r>
      <w:r>
        <w:rPr>
          <w:lang w:eastAsia="en-AU"/>
        </w:rPr>
        <w:tab/>
        <w:t xml:space="preserve">determined as </w:t>
      </w:r>
      <w:r w:rsidRPr="003F6F99">
        <w:rPr>
          <w:lang w:eastAsia="en-AU"/>
        </w:rPr>
        <w:t xml:space="preserve">the median of the historical differences between the BBSW Rate and AONIA over a </w:t>
      </w:r>
      <w:proofErr w:type="gramStart"/>
      <w:r w:rsidRPr="003F6F99">
        <w:rPr>
          <w:lang w:eastAsia="en-AU"/>
        </w:rPr>
        <w:t>five</w:t>
      </w:r>
      <w:r>
        <w:rPr>
          <w:lang w:eastAsia="en-AU"/>
        </w:rPr>
        <w:t xml:space="preserve"> calendar</w:t>
      </w:r>
      <w:proofErr w:type="gramEnd"/>
      <w:r>
        <w:rPr>
          <w:lang w:eastAsia="en-AU"/>
        </w:rPr>
        <w:t xml:space="preserve"> </w:t>
      </w:r>
      <w:r w:rsidRPr="003F6F99">
        <w:rPr>
          <w:lang w:eastAsia="en-AU"/>
        </w:rPr>
        <w:t>year period prior to the</w:t>
      </w:r>
      <w:r>
        <w:rPr>
          <w:lang w:eastAsia="en-AU"/>
        </w:rPr>
        <w:t xml:space="preserve"> Adjustment Spread Fixing Date using industry-accepted practices, provided that for so long as the Bloomberg Adjustment Spread is published and determined based on the five year</w:t>
      </w:r>
      <w:r w:rsidRPr="003F6F99">
        <w:rPr>
          <w:lang w:eastAsia="en-AU"/>
        </w:rPr>
        <w:t xml:space="preserve"> median of the historical differences between the BBSW Rate and AONIA</w:t>
      </w:r>
      <w:r>
        <w:rPr>
          <w:lang w:eastAsia="en-AU"/>
        </w:rPr>
        <w:t>, that adjustment spread will be deemed to be acceptable for the purposes of this paragraph (a);</w:t>
      </w:r>
      <w:r w:rsidRPr="00624E2E">
        <w:rPr>
          <w:lang w:eastAsia="en-AU"/>
        </w:rPr>
        <w:t xml:space="preserve"> or</w:t>
      </w:r>
    </w:p>
    <w:p w14:paraId="7DC3B5FF" w14:textId="77777777" w:rsidR="006414D2" w:rsidRDefault="006414D2" w:rsidP="006414D2">
      <w:pPr>
        <w:pStyle w:val="Heading1"/>
        <w:numPr>
          <w:ilvl w:val="0"/>
          <w:numId w:val="0"/>
        </w:numPr>
        <w:ind w:left="737" w:hanging="737"/>
        <w:rPr>
          <w:lang w:eastAsia="en-AU"/>
        </w:rPr>
      </w:pPr>
      <w:r>
        <w:rPr>
          <w:lang w:eastAsia="en-AU"/>
        </w:rPr>
        <w:t>(b)</w:t>
      </w:r>
      <w:r>
        <w:rPr>
          <w:lang w:eastAsia="en-AU"/>
        </w:rPr>
        <w:tab/>
      </w:r>
      <w:r w:rsidRPr="00624E2E">
        <w:rPr>
          <w:lang w:eastAsia="en-AU"/>
        </w:rPr>
        <w:t xml:space="preserve">if no such </w:t>
      </w:r>
      <w:r>
        <w:rPr>
          <w:lang w:eastAsia="en-AU"/>
        </w:rPr>
        <w:t>median can be determined in accordance with para (a)</w:t>
      </w:r>
      <w:r w:rsidRPr="00624E2E">
        <w:rPr>
          <w:lang w:eastAsia="en-AU"/>
        </w:rPr>
        <w:t xml:space="preserve">, </w:t>
      </w:r>
      <w:r>
        <w:rPr>
          <w:lang w:eastAsia="en-AU"/>
        </w:rPr>
        <w:t xml:space="preserve">set using the </w:t>
      </w:r>
      <w:r w:rsidRPr="00624E2E">
        <w:rPr>
          <w:lang w:eastAsia="en-AU"/>
        </w:rPr>
        <w:t>method for calculating or determining such adjustment spread determined by the [Calculation</w:t>
      </w:r>
      <w:r w:rsidRPr="00971B7C">
        <w:rPr>
          <w:lang w:eastAsia="en-AU"/>
        </w:rPr>
        <w:t xml:space="preserve"> Agent] to be appropriate or, if the [Calculation Agent] is unable to determine the quantum of, or a formula or methodology for determining, such adjustment spread, then </w:t>
      </w:r>
      <w:r>
        <w:rPr>
          <w:lang w:eastAsia="en-AU"/>
        </w:rPr>
        <w:t xml:space="preserve">as </w:t>
      </w:r>
      <w:r w:rsidRPr="00971B7C">
        <w:rPr>
          <w:lang w:eastAsia="en-AU"/>
        </w:rPr>
        <w:t xml:space="preserve">determined by an alternative financial institution </w:t>
      </w:r>
      <w:r>
        <w:rPr>
          <w:lang w:eastAsia="en-AU"/>
        </w:rPr>
        <w:t>(</w:t>
      </w:r>
      <w:r w:rsidRPr="00971B7C">
        <w:rPr>
          <w:lang w:eastAsia="en-AU"/>
        </w:rPr>
        <w:t xml:space="preserve">appointed by the </w:t>
      </w:r>
      <w:r>
        <w:rPr>
          <w:lang w:eastAsia="en-AU"/>
        </w:rPr>
        <w:t>[Manager] in its sole discretion</w:t>
      </w:r>
      <w:r w:rsidRPr="00971B7C">
        <w:rPr>
          <w:lang w:eastAsia="en-AU"/>
        </w:rPr>
        <w:t>) acting in good faith and in a commercially reasonable manner</w:t>
      </w:r>
      <w:r>
        <w:rPr>
          <w:lang w:eastAsia="en-AU"/>
        </w:rPr>
        <w:t>.</w:t>
      </w:r>
    </w:p>
    <w:p w14:paraId="5829E974" w14:textId="77777777" w:rsidR="006414D2" w:rsidRDefault="006414D2" w:rsidP="006414D2">
      <w:pPr>
        <w:pStyle w:val="Heading1"/>
        <w:numPr>
          <w:ilvl w:val="0"/>
          <w:numId w:val="0"/>
        </w:numPr>
        <w:rPr>
          <w:lang w:eastAsia="en-AU"/>
        </w:rPr>
      </w:pPr>
      <w:r>
        <w:rPr>
          <w:lang w:eastAsia="en-AU"/>
        </w:rPr>
        <w:t>“</w:t>
      </w:r>
      <w:r w:rsidRPr="006861F1">
        <w:rPr>
          <w:b/>
          <w:bCs/>
          <w:lang w:eastAsia="en-AU"/>
        </w:rPr>
        <w:t>Adjustment Spread Fixing Date</w:t>
      </w:r>
      <w:r>
        <w:rPr>
          <w:lang w:eastAsia="en-AU"/>
        </w:rPr>
        <w:t>” means the first date on which a Permanent Discontinuation Trigger occurs with respect to the BBSW Rate.</w:t>
      </w:r>
    </w:p>
    <w:p w14:paraId="5AEDDDAE" w14:textId="77777777" w:rsidR="006414D2" w:rsidRDefault="006414D2" w:rsidP="006414D2">
      <w:pPr>
        <w:pStyle w:val="Heading1"/>
        <w:numPr>
          <w:ilvl w:val="0"/>
          <w:numId w:val="0"/>
        </w:numPr>
        <w:rPr>
          <w:lang w:eastAsia="en-AU"/>
        </w:rPr>
      </w:pPr>
      <w:r w:rsidRPr="006C3B3D">
        <w:rPr>
          <w:lang w:eastAsia="en-AU"/>
        </w:rPr>
        <w:t>“</w:t>
      </w:r>
      <w:r w:rsidRPr="003F530F">
        <w:rPr>
          <w:b/>
          <w:bCs/>
          <w:lang w:eastAsia="en-AU"/>
        </w:rPr>
        <w:t>Administrator</w:t>
      </w:r>
      <w:r w:rsidRPr="006C3B3D">
        <w:rPr>
          <w:lang w:eastAsia="en-AU"/>
        </w:rPr>
        <w:t>”</w:t>
      </w:r>
      <w:r w:rsidRPr="00D51E2B">
        <w:rPr>
          <w:lang w:eastAsia="en-AU"/>
        </w:rPr>
        <w:t xml:space="preserve"> means</w:t>
      </w:r>
      <w:r>
        <w:rPr>
          <w:lang w:eastAsia="en-AU"/>
        </w:rPr>
        <w:t>:</w:t>
      </w:r>
    </w:p>
    <w:p w14:paraId="725E548B" w14:textId="77777777" w:rsidR="006414D2" w:rsidRDefault="006414D2" w:rsidP="006414D2">
      <w:pPr>
        <w:pStyle w:val="Heading1"/>
        <w:numPr>
          <w:ilvl w:val="0"/>
          <w:numId w:val="0"/>
        </w:numPr>
        <w:rPr>
          <w:lang w:eastAsia="en-AU"/>
        </w:rPr>
      </w:pPr>
      <w:r>
        <w:rPr>
          <w:lang w:eastAsia="en-AU"/>
        </w:rPr>
        <w:t>(a)</w:t>
      </w:r>
      <w:r>
        <w:rPr>
          <w:lang w:eastAsia="en-AU"/>
        </w:rPr>
        <w:tab/>
        <w:t xml:space="preserve">in respect of the BBSW Rate, ASX Benchmarks Limited </w:t>
      </w:r>
      <w:r>
        <w:t>(ABN 38 616 075 417)</w:t>
      </w:r>
      <w:r>
        <w:rPr>
          <w:lang w:eastAsia="en-AU"/>
        </w:rPr>
        <w:t>;</w:t>
      </w:r>
    </w:p>
    <w:p w14:paraId="27DE4DC3" w14:textId="77777777" w:rsidR="006414D2" w:rsidRDefault="006414D2" w:rsidP="006414D2">
      <w:pPr>
        <w:pStyle w:val="Heading1"/>
        <w:numPr>
          <w:ilvl w:val="0"/>
          <w:numId w:val="0"/>
        </w:numPr>
        <w:rPr>
          <w:lang w:eastAsia="en-AU"/>
        </w:rPr>
      </w:pPr>
      <w:r>
        <w:rPr>
          <w:lang w:eastAsia="en-AU"/>
        </w:rPr>
        <w:t>(b)</w:t>
      </w:r>
      <w:r>
        <w:rPr>
          <w:lang w:eastAsia="en-AU"/>
        </w:rPr>
        <w:tab/>
        <w:t>in respect of AONIA, the Reserve Bank of Australia; and</w:t>
      </w:r>
    </w:p>
    <w:p w14:paraId="1659EFA9" w14:textId="77777777" w:rsidR="006414D2" w:rsidRDefault="006414D2" w:rsidP="006414D2">
      <w:pPr>
        <w:pStyle w:val="Heading1"/>
        <w:numPr>
          <w:ilvl w:val="0"/>
          <w:numId w:val="0"/>
        </w:numPr>
        <w:ind w:left="735" w:hanging="735"/>
        <w:rPr>
          <w:lang w:eastAsia="en-AU"/>
        </w:rPr>
      </w:pPr>
      <w:r>
        <w:rPr>
          <w:lang w:eastAsia="en-AU"/>
        </w:rPr>
        <w:t>(c)</w:t>
      </w:r>
      <w:r>
        <w:rPr>
          <w:lang w:eastAsia="en-AU"/>
        </w:rPr>
        <w:tab/>
        <w:t>in respect of any other Applicable Benchmark Rate, the administrator for that rate or benchmark or, if there is no administrator, the provider of that rate or benchmark,</w:t>
      </w:r>
    </w:p>
    <w:p w14:paraId="134BD441" w14:textId="77777777" w:rsidR="006414D2" w:rsidRDefault="006414D2" w:rsidP="006414D2">
      <w:pPr>
        <w:pStyle w:val="Heading1"/>
        <w:numPr>
          <w:ilvl w:val="0"/>
          <w:numId w:val="0"/>
        </w:numPr>
        <w:rPr>
          <w:lang w:eastAsia="en-AU"/>
        </w:rPr>
      </w:pPr>
      <w:r w:rsidRPr="000702A8">
        <w:rPr>
          <w:lang w:eastAsia="en-AU"/>
        </w:rPr>
        <w:t>or in each case, any successor administrator or, as applicable, any successor administrator or provider.</w:t>
      </w:r>
    </w:p>
    <w:p w14:paraId="5F1A7B62" w14:textId="77777777" w:rsidR="006414D2" w:rsidRDefault="006414D2" w:rsidP="006414D2">
      <w:pPr>
        <w:pStyle w:val="Heading1"/>
        <w:numPr>
          <w:ilvl w:val="0"/>
          <w:numId w:val="0"/>
        </w:numPr>
        <w:rPr>
          <w:lang w:eastAsia="en-AU"/>
        </w:rPr>
      </w:pPr>
      <w:r w:rsidRPr="007F7062">
        <w:rPr>
          <w:lang w:eastAsia="en-AU"/>
        </w:rPr>
        <w:t>“</w:t>
      </w:r>
      <w:r w:rsidRPr="007F7062">
        <w:rPr>
          <w:b/>
          <w:bCs/>
          <w:lang w:eastAsia="en-AU"/>
        </w:rPr>
        <w:t>Administrator Recommended Rate</w:t>
      </w:r>
      <w:r w:rsidRPr="007F7062">
        <w:rPr>
          <w:lang w:eastAsia="en-AU"/>
        </w:rPr>
        <w:t xml:space="preserve">” means the rate formally recommended for use as the replacement for </w:t>
      </w:r>
      <w:r>
        <w:rPr>
          <w:lang w:eastAsia="en-AU"/>
        </w:rPr>
        <w:t>the BBSW</w:t>
      </w:r>
      <w:r w:rsidRPr="007F7062">
        <w:rPr>
          <w:lang w:eastAsia="en-AU"/>
        </w:rPr>
        <w:t xml:space="preserve"> Rate by the Administrator of </w:t>
      </w:r>
      <w:r>
        <w:rPr>
          <w:lang w:eastAsia="en-AU"/>
        </w:rPr>
        <w:t>the BBSW Rate</w:t>
      </w:r>
      <w:r w:rsidRPr="007F7062">
        <w:rPr>
          <w:lang w:eastAsia="en-AU"/>
        </w:rPr>
        <w:t>.</w:t>
      </w:r>
    </w:p>
    <w:p w14:paraId="15FC3A2B" w14:textId="77777777" w:rsidR="006414D2" w:rsidRDefault="006414D2" w:rsidP="006414D2">
      <w:pPr>
        <w:pStyle w:val="Heading1"/>
        <w:numPr>
          <w:ilvl w:val="0"/>
          <w:numId w:val="0"/>
        </w:numPr>
        <w:rPr>
          <w:lang w:eastAsia="en-AU"/>
        </w:rPr>
      </w:pPr>
      <w:r w:rsidRPr="009A7641">
        <w:rPr>
          <w:lang w:eastAsia="en-AU"/>
        </w:rPr>
        <w:lastRenderedPageBreak/>
        <w:t>“</w:t>
      </w:r>
      <w:r w:rsidRPr="009A7641">
        <w:rPr>
          <w:b/>
          <w:bCs/>
          <w:lang w:eastAsia="en-AU"/>
        </w:rPr>
        <w:t>Applicable Benchmark Rate</w:t>
      </w:r>
      <w:r w:rsidRPr="009A7641">
        <w:rPr>
          <w:lang w:eastAsia="en-AU"/>
        </w:rPr>
        <w:t>” means initially, the BBSW Rate or, if a Permanent Fallback Effective Date has occurred with respect to the BBSW Rate, AONIA or the RBA Recommended Rate as applicable at such time in accordance with this clause [#].</w:t>
      </w:r>
    </w:p>
    <w:p w14:paraId="085035C0" w14:textId="77777777" w:rsidR="006414D2" w:rsidRDefault="006414D2" w:rsidP="006414D2">
      <w:pPr>
        <w:pStyle w:val="Heading1"/>
        <w:numPr>
          <w:ilvl w:val="0"/>
          <w:numId w:val="0"/>
        </w:numPr>
        <w:rPr>
          <w:lang w:eastAsia="en-AU"/>
        </w:rPr>
      </w:pPr>
      <w:r w:rsidRPr="00151BA7">
        <w:rPr>
          <w:lang w:eastAsia="en-AU"/>
        </w:rPr>
        <w:t>“</w:t>
      </w:r>
      <w:r>
        <w:rPr>
          <w:b/>
          <w:bCs/>
          <w:lang w:eastAsia="en-AU"/>
        </w:rPr>
        <w:t>AONIA</w:t>
      </w:r>
      <w:r w:rsidRPr="00481259">
        <w:rPr>
          <w:lang w:eastAsia="en-AU"/>
        </w:rPr>
        <w:t xml:space="preserve">” means the Australian dollar </w:t>
      </w:r>
      <w:r>
        <w:rPr>
          <w:lang w:eastAsia="en-AU"/>
        </w:rPr>
        <w:t xml:space="preserve">interbank overnight cash rate </w:t>
      </w:r>
      <w:r w:rsidRPr="00481259">
        <w:rPr>
          <w:lang w:eastAsia="en-AU"/>
        </w:rPr>
        <w:t xml:space="preserve">(known as </w:t>
      </w:r>
      <w:r>
        <w:rPr>
          <w:lang w:eastAsia="en-AU"/>
        </w:rPr>
        <w:t>AONIA</w:t>
      </w:r>
      <w:r w:rsidRPr="00481259">
        <w:rPr>
          <w:lang w:eastAsia="en-AU"/>
        </w:rPr>
        <w:t>).</w:t>
      </w:r>
    </w:p>
    <w:p w14:paraId="082ACE16" w14:textId="77777777" w:rsidR="006414D2" w:rsidRPr="007F7062" w:rsidRDefault="006414D2" w:rsidP="006414D2">
      <w:pPr>
        <w:pStyle w:val="Heading1"/>
        <w:numPr>
          <w:ilvl w:val="0"/>
          <w:numId w:val="0"/>
        </w:numPr>
        <w:rPr>
          <w:lang w:eastAsia="en-AU"/>
        </w:rPr>
      </w:pPr>
      <w:r>
        <w:rPr>
          <w:lang w:eastAsia="en-AU"/>
        </w:rPr>
        <w:t>“</w:t>
      </w:r>
      <w:r w:rsidRPr="007F7062">
        <w:rPr>
          <w:b/>
          <w:bCs/>
          <w:lang w:eastAsia="en-AU"/>
        </w:rPr>
        <w:t xml:space="preserve">AONIA </w:t>
      </w:r>
      <w:r>
        <w:rPr>
          <w:b/>
          <w:bCs/>
          <w:lang w:eastAsia="en-AU"/>
        </w:rPr>
        <w:t xml:space="preserve">Fallback </w:t>
      </w:r>
      <w:r w:rsidRPr="007F7062">
        <w:rPr>
          <w:b/>
          <w:bCs/>
          <w:lang w:eastAsia="en-AU"/>
        </w:rPr>
        <w:t>Rate</w:t>
      </w:r>
      <w:r w:rsidRPr="007F7062">
        <w:rPr>
          <w:lang w:eastAsia="en-AU"/>
        </w:rPr>
        <w:t>” means</w:t>
      </w:r>
      <w:r>
        <w:rPr>
          <w:lang w:eastAsia="en-AU"/>
        </w:rPr>
        <w:t>, in respect of an Interest Determination Date,</w:t>
      </w:r>
      <w:r w:rsidRPr="007F7062">
        <w:rPr>
          <w:lang w:eastAsia="en-AU"/>
        </w:rPr>
        <w:t xml:space="preserve"> the rate determined by the [Calculation Agent] to be Compounded Daily AONIA </w:t>
      </w:r>
      <w:r>
        <w:rPr>
          <w:lang w:eastAsia="en-AU"/>
        </w:rPr>
        <w:t xml:space="preserve">for that Interest Determination Date </w:t>
      </w:r>
      <w:r w:rsidRPr="007F7062">
        <w:rPr>
          <w:lang w:eastAsia="en-AU"/>
        </w:rPr>
        <w:t>plus the Adjustment Spread.</w:t>
      </w:r>
    </w:p>
    <w:p w14:paraId="6D30D278" w14:textId="77777777" w:rsidR="006414D2" w:rsidRPr="00481259" w:rsidRDefault="006414D2" w:rsidP="006414D2">
      <w:pPr>
        <w:pStyle w:val="Heading1"/>
        <w:numPr>
          <w:ilvl w:val="0"/>
          <w:numId w:val="0"/>
        </w:numPr>
        <w:rPr>
          <w:lang w:eastAsia="en-AU"/>
        </w:rPr>
      </w:pPr>
      <w:r w:rsidRPr="00151BA7">
        <w:rPr>
          <w:lang w:eastAsia="en-AU"/>
        </w:rPr>
        <w:t>“</w:t>
      </w:r>
      <w:r w:rsidRPr="00481259">
        <w:rPr>
          <w:b/>
          <w:bCs/>
          <w:lang w:eastAsia="en-AU"/>
        </w:rPr>
        <w:t>BBSW</w:t>
      </w:r>
      <w:r w:rsidRPr="00481259">
        <w:rPr>
          <w:lang w:eastAsia="en-AU"/>
        </w:rPr>
        <w:t>” means the Australian dollar mid-rate benchmark for prime bank eligible securities (known as the Australian Bank Bill Swap Rate or BBSW).</w:t>
      </w:r>
    </w:p>
    <w:p w14:paraId="05073371" w14:textId="77777777" w:rsidR="006414D2" w:rsidRDefault="006414D2" w:rsidP="006414D2">
      <w:pPr>
        <w:pStyle w:val="Heading1"/>
        <w:numPr>
          <w:ilvl w:val="0"/>
          <w:numId w:val="0"/>
        </w:numPr>
        <w:rPr>
          <w:lang w:eastAsia="en-AU"/>
        </w:rPr>
      </w:pPr>
      <w:r>
        <w:rPr>
          <w:lang w:eastAsia="en-AU"/>
        </w:rPr>
        <w:t>“</w:t>
      </w:r>
      <w:r>
        <w:rPr>
          <w:b/>
          <w:bCs/>
          <w:lang w:eastAsia="en-AU"/>
        </w:rPr>
        <w:t>Bloomberg</w:t>
      </w:r>
      <w:r>
        <w:rPr>
          <w:lang w:eastAsia="en-AU"/>
        </w:rPr>
        <w:t xml:space="preserve">” means </w:t>
      </w:r>
      <w:r w:rsidRPr="008A2A85">
        <w:rPr>
          <w:lang w:eastAsia="en-AU"/>
        </w:rPr>
        <w:t>Bloomberg Index Services Limited (or a successor provider as approved and/or appointed by ISDA from time to time), as the provider of term adjusted AONIA and the spread</w:t>
      </w:r>
      <w:r>
        <w:rPr>
          <w:lang w:eastAsia="en-AU"/>
        </w:rPr>
        <w:t>.</w:t>
      </w:r>
    </w:p>
    <w:p w14:paraId="004D349F" w14:textId="77777777" w:rsidR="006414D2" w:rsidRDefault="006414D2" w:rsidP="006414D2">
      <w:pPr>
        <w:pStyle w:val="Heading1"/>
        <w:numPr>
          <w:ilvl w:val="0"/>
          <w:numId w:val="0"/>
        </w:numPr>
        <w:rPr>
          <w:lang w:eastAsia="en-AU"/>
        </w:rPr>
      </w:pPr>
      <w:r>
        <w:rPr>
          <w:lang w:eastAsia="en-AU"/>
        </w:rPr>
        <w:t>“</w:t>
      </w:r>
      <w:r>
        <w:rPr>
          <w:b/>
          <w:bCs/>
          <w:lang w:eastAsia="en-AU"/>
        </w:rPr>
        <w:t>Bloomberg Adjustment Spread</w:t>
      </w:r>
      <w:r>
        <w:rPr>
          <w:lang w:eastAsia="en-AU"/>
        </w:rPr>
        <w:t xml:space="preserve">” means </w:t>
      </w:r>
      <w:r w:rsidRPr="00971B7C">
        <w:rPr>
          <w:lang w:eastAsia="en-AU"/>
        </w:rPr>
        <w:t>the term adjusted AONIA spread relating to the BBSW Rate provided by Bloomberg</w:t>
      </w:r>
      <w:r w:rsidRPr="00081AC2">
        <w:rPr>
          <w:lang w:eastAsia="en-AU"/>
        </w:rPr>
        <w:t>, on the Fallback</w:t>
      </w:r>
      <w:r w:rsidRPr="00971B7C">
        <w:rPr>
          <w:lang w:eastAsia="en-AU"/>
        </w:rPr>
        <w:t xml:space="preserve"> Rate (AONIA) Screen (or by other means) or provided to, and published by, authorised distributors</w:t>
      </w:r>
      <w:r>
        <w:rPr>
          <w:lang w:eastAsia="en-AU"/>
        </w:rPr>
        <w:t>.</w:t>
      </w:r>
    </w:p>
    <w:p w14:paraId="2CE85E93" w14:textId="77777777" w:rsidR="006414D2" w:rsidRDefault="006414D2" w:rsidP="006414D2">
      <w:pPr>
        <w:pStyle w:val="Heading1"/>
        <w:keepNext/>
        <w:numPr>
          <w:ilvl w:val="0"/>
          <w:numId w:val="0"/>
        </w:numPr>
        <w:rPr>
          <w:lang w:eastAsia="en-AU"/>
        </w:rPr>
      </w:pPr>
      <w:r>
        <w:rPr>
          <w:lang w:eastAsia="en-AU"/>
        </w:rPr>
        <w:t>“</w:t>
      </w:r>
      <w:r w:rsidRPr="00077A30">
        <w:rPr>
          <w:b/>
          <w:bCs/>
          <w:lang w:eastAsia="en-AU"/>
        </w:rPr>
        <w:t>Compounded Daily AONIA</w:t>
      </w:r>
      <w:r>
        <w:rPr>
          <w:lang w:eastAsia="en-AU"/>
        </w:rPr>
        <w:t xml:space="preserve">” means, in respect of an Interest Determination Date, </w:t>
      </w:r>
      <w:r w:rsidRPr="00466783">
        <w:rPr>
          <w:lang w:eastAsia="en-AU"/>
        </w:rPr>
        <w:t xml:space="preserve">the rate </w:t>
      </w:r>
      <w:r>
        <w:rPr>
          <w:lang w:eastAsia="en-AU"/>
        </w:rPr>
        <w:t>which is</w:t>
      </w:r>
      <w:r w:rsidRPr="00466783">
        <w:rPr>
          <w:lang w:eastAsia="en-AU"/>
        </w:rPr>
        <w:t xml:space="preserve"> the rate of return of a daily compound interest investment, calculated in accordance with the formula below</w:t>
      </w:r>
      <w:r>
        <w:rPr>
          <w:lang w:eastAsia="en-AU"/>
        </w:rPr>
        <w:t>:</w:t>
      </w:r>
      <w:r>
        <w:rPr>
          <w:rStyle w:val="EndnoteReference"/>
          <w:lang w:eastAsia="en-AU"/>
        </w:rPr>
        <w:endnoteReference w:id="2"/>
      </w:r>
    </w:p>
    <w:p w14:paraId="69810AB0" w14:textId="77777777" w:rsidR="006414D2" w:rsidRDefault="00600098" w:rsidP="006414D2">
      <w:pPr>
        <w:pStyle w:val="Heading1"/>
        <w:keepNext/>
        <w:numPr>
          <w:ilvl w:val="0"/>
          <w:numId w:val="0"/>
        </w:numPr>
        <w:ind w:left="737" w:hanging="737"/>
        <w:rPr>
          <w:lang w:eastAsia="en-AU"/>
        </w:rPr>
      </w:pPr>
      <m:oMathPara>
        <m:oMath>
          <m:d>
            <m:dPr>
              <m:begChr m:val="["/>
              <m:endChr m:val="]"/>
              <m:ctrlPr>
                <w:rPr>
                  <w:rFonts w:ascii="Cambria Math" w:hAnsi="Cambria Math"/>
                  <w:i/>
                  <w:iCs/>
                  <w:sz w:val="18"/>
                  <w:szCs w:val="18"/>
                </w:rPr>
              </m:ctrlPr>
            </m:dPr>
            <m:e>
              <m:nary>
                <m:naryPr>
                  <m:chr m:val="∏"/>
                  <m:limLoc m:val="undOvr"/>
                  <m:ctrlPr>
                    <w:rPr>
                      <w:rFonts w:ascii="Cambria Math" w:hAnsi="Cambria Math"/>
                      <w:i/>
                      <w:iCs/>
                      <w:sz w:val="18"/>
                      <w:szCs w:val="18"/>
                    </w:rPr>
                  </m:ctrlPr>
                </m:naryPr>
                <m:sub>
                  <m:r>
                    <w:rPr>
                      <w:rFonts w:ascii="Cambria Math" w:hAnsi="Cambria Math"/>
                      <w:sz w:val="18"/>
                      <w:szCs w:val="18"/>
                    </w:rPr>
                    <m:t>i=1</m:t>
                  </m:r>
                </m:sub>
                <m:sup>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0</m:t>
                      </m:r>
                    </m:sub>
                  </m:sSub>
                  <m:r>
                    <m:rPr>
                      <m:sty m:val="p"/>
                    </m:rPr>
                    <w:rPr>
                      <w:rFonts w:ascii="Cambria Math" w:hAnsi="Cambria Math"/>
                      <w:sz w:val="18"/>
                      <w:szCs w:val="18"/>
                    </w:rPr>
                    <m:t xml:space="preserve"> </m:t>
                  </m:r>
                </m:sup>
                <m:e>
                  <m:d>
                    <m:dPr>
                      <m:ctrlPr>
                        <w:rPr>
                          <w:rFonts w:ascii="Cambria Math" w:hAnsi="Cambria Math"/>
                          <w:i/>
                          <w:iCs/>
                          <w:sz w:val="18"/>
                          <w:szCs w:val="18"/>
                        </w:rPr>
                      </m:ctrlPr>
                    </m:dPr>
                    <m:e>
                      <m:r>
                        <w:rPr>
                          <w:rFonts w:ascii="Cambria Math" w:hAnsi="Cambria Math"/>
                          <w:sz w:val="18"/>
                          <w:szCs w:val="18"/>
                        </w:rPr>
                        <m:t>1+</m:t>
                      </m:r>
                      <m:f>
                        <m:fPr>
                          <m:ctrlPr>
                            <w:rPr>
                              <w:rFonts w:ascii="Cambria Math" w:hAnsi="Cambria Math"/>
                              <w:i/>
                              <w:iCs/>
                              <w:sz w:val="18"/>
                              <w:szCs w:val="18"/>
                            </w:rPr>
                          </m:ctrlPr>
                        </m:fPr>
                        <m:num>
                          <m:sSub>
                            <m:sSubPr>
                              <m:ctrlPr>
                                <w:rPr>
                                  <w:rFonts w:ascii="Cambria Math" w:hAnsi="Cambria Math"/>
                                  <w:i/>
                                  <w:iCs/>
                                  <w:sz w:val="18"/>
                                  <w:szCs w:val="18"/>
                                </w:rPr>
                              </m:ctrlPr>
                            </m:sSubPr>
                            <m:e>
                              <m:r>
                                <w:rPr>
                                  <w:rFonts w:ascii="Cambria Math" w:hAnsi="Cambria Math"/>
                                  <w:sz w:val="18"/>
                                  <w:szCs w:val="18"/>
                                </w:rPr>
                                <m:t>AONIA</m:t>
                              </m:r>
                            </m:e>
                            <m:sub>
                              <m:r>
                                <w:rPr>
                                  <w:rFonts w:ascii="Cambria Math" w:hAnsi="Cambria Math"/>
                                  <w:sz w:val="18"/>
                                  <w:szCs w:val="18"/>
                                </w:rPr>
                                <m:t xml:space="preserve">i-5BD </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n</m:t>
                              </m:r>
                            </m:e>
                            <m:sub>
                              <m:r>
                                <w:rPr>
                                  <w:rFonts w:ascii="Cambria Math" w:hAnsi="Cambria Math"/>
                                  <w:sz w:val="18"/>
                                  <w:szCs w:val="18"/>
                                </w:rPr>
                                <m:t>i</m:t>
                              </m:r>
                            </m:sub>
                          </m:sSub>
                        </m:num>
                        <m:den>
                          <m:r>
                            <w:rPr>
                              <w:rFonts w:ascii="Cambria Math" w:hAnsi="Cambria Math"/>
                              <w:sz w:val="18"/>
                              <w:szCs w:val="18"/>
                            </w:rPr>
                            <m:t>365</m:t>
                          </m:r>
                        </m:den>
                      </m:f>
                    </m:e>
                  </m:d>
                  <m:r>
                    <w:rPr>
                      <w:rFonts w:ascii="Cambria Math" w:hAnsi="Cambria Math"/>
                      <w:sz w:val="18"/>
                      <w:szCs w:val="18"/>
                    </w:rPr>
                    <m:t>-1</m:t>
                  </m:r>
                </m:e>
              </m:nary>
            </m:e>
          </m:d>
          <m:r>
            <w:rPr>
              <w:rFonts w:ascii="Cambria Math" w:hAnsi="Cambria Math"/>
              <w:sz w:val="18"/>
              <w:szCs w:val="18"/>
            </w:rPr>
            <m:t>×</m:t>
          </m:r>
          <m:f>
            <m:fPr>
              <m:ctrlPr>
                <w:rPr>
                  <w:rFonts w:ascii="Cambria Math" w:hAnsi="Cambria Math"/>
                  <w:i/>
                  <w:iCs/>
                  <w:sz w:val="18"/>
                  <w:szCs w:val="18"/>
                </w:rPr>
              </m:ctrlPr>
            </m:fPr>
            <m:num>
              <m:r>
                <w:rPr>
                  <w:rFonts w:ascii="Cambria Math" w:hAnsi="Cambria Math"/>
                  <w:sz w:val="18"/>
                  <w:szCs w:val="18"/>
                </w:rPr>
                <m:t>365</m:t>
              </m:r>
            </m:num>
            <m:den>
              <m:r>
                <w:rPr>
                  <w:rFonts w:ascii="Cambria Math" w:hAnsi="Cambria Math"/>
                  <w:sz w:val="18"/>
                  <w:szCs w:val="18"/>
                </w:rPr>
                <m:t>d</m:t>
              </m:r>
            </m:den>
          </m:f>
        </m:oMath>
      </m:oMathPara>
    </w:p>
    <w:p w14:paraId="1683EFA3" w14:textId="77777777" w:rsidR="006414D2" w:rsidRDefault="006414D2" w:rsidP="006414D2">
      <w:pPr>
        <w:pStyle w:val="Heading1"/>
        <w:keepNext/>
        <w:numPr>
          <w:ilvl w:val="0"/>
          <w:numId w:val="0"/>
        </w:numPr>
        <w:ind w:left="737"/>
        <w:rPr>
          <w:lang w:eastAsia="en-AU"/>
        </w:rPr>
      </w:pPr>
      <w:r w:rsidRPr="00DC5DD5">
        <w:rPr>
          <w:lang w:eastAsia="en-AU"/>
        </w:rPr>
        <w:t>where:</w:t>
      </w:r>
    </w:p>
    <w:p w14:paraId="5E8CF0B1" w14:textId="77777777" w:rsidR="006414D2" w:rsidRPr="00DC5DD5" w:rsidRDefault="006414D2" w:rsidP="006414D2">
      <w:pPr>
        <w:pStyle w:val="Heading1"/>
        <w:keepNext/>
        <w:numPr>
          <w:ilvl w:val="0"/>
          <w:numId w:val="0"/>
        </w:numPr>
        <w:ind w:left="1474" w:hanging="737"/>
        <w:rPr>
          <w:lang w:eastAsia="en-AU"/>
        </w:rPr>
      </w:pPr>
      <w:r w:rsidRPr="004D44FD">
        <w:rPr>
          <w:b/>
          <w:bCs/>
          <w:i/>
          <w:iCs/>
          <w:lang w:eastAsia="en-AU"/>
        </w:rPr>
        <w:t>d</w:t>
      </w:r>
      <w:r>
        <w:rPr>
          <w:lang w:eastAsia="en-AU"/>
        </w:rPr>
        <w:tab/>
      </w:r>
      <w:r>
        <w:rPr>
          <w:lang w:eastAsia="en-AU"/>
        </w:rPr>
        <w:tab/>
      </w:r>
      <w:r>
        <w:rPr>
          <w:lang w:eastAsia="en-AU"/>
        </w:rPr>
        <w:tab/>
        <w:t>means</w:t>
      </w:r>
      <w:r w:rsidRPr="00DC5DD5">
        <w:rPr>
          <w:lang w:eastAsia="en-AU"/>
        </w:rPr>
        <w:t xml:space="preserve"> </w:t>
      </w:r>
      <w:r w:rsidRPr="000F35B8">
        <w:rPr>
          <w:lang w:eastAsia="en-AU"/>
        </w:rPr>
        <w:t>the number of calendar days in the relevant Interest Period;</w:t>
      </w:r>
    </w:p>
    <w:p w14:paraId="5FFAA425" w14:textId="77777777" w:rsidR="006414D2" w:rsidRDefault="006414D2" w:rsidP="006414D2">
      <w:pPr>
        <w:pStyle w:val="Heading1"/>
        <w:numPr>
          <w:ilvl w:val="0"/>
          <w:numId w:val="0"/>
        </w:numPr>
        <w:ind w:left="1474" w:hanging="737"/>
        <w:rPr>
          <w:lang w:eastAsia="en-AU"/>
        </w:rPr>
      </w:pPr>
      <w:r w:rsidRPr="004D44FD">
        <w:rPr>
          <w:b/>
          <w:bCs/>
          <w:i/>
          <w:iCs/>
          <w:lang w:eastAsia="en-AU"/>
        </w:rPr>
        <w:t>d</w:t>
      </w:r>
      <w:r w:rsidRPr="004D44FD">
        <w:rPr>
          <w:b/>
          <w:bCs/>
          <w:i/>
          <w:iCs/>
          <w:vertAlign w:val="subscript"/>
          <w:lang w:eastAsia="en-AU"/>
        </w:rPr>
        <w:t>0</w:t>
      </w:r>
      <w:r>
        <w:rPr>
          <w:lang w:eastAsia="en-AU"/>
        </w:rPr>
        <w:tab/>
      </w:r>
      <w:r>
        <w:rPr>
          <w:lang w:eastAsia="en-AU"/>
        </w:rPr>
        <w:tab/>
      </w:r>
      <w:r>
        <w:rPr>
          <w:lang w:eastAsia="en-AU"/>
        </w:rPr>
        <w:tab/>
        <w:t>means</w:t>
      </w:r>
      <w:r w:rsidRPr="00612D6A">
        <w:rPr>
          <w:lang w:eastAsia="en-AU"/>
        </w:rPr>
        <w:t xml:space="preserve"> the number of </w:t>
      </w:r>
      <w:r>
        <w:rPr>
          <w:lang w:eastAsia="en-AU"/>
        </w:rPr>
        <w:t>[</w:t>
      </w:r>
      <w:r w:rsidRPr="00612D6A">
        <w:rPr>
          <w:lang w:eastAsia="en-AU"/>
        </w:rPr>
        <w:t>Business Days</w:t>
      </w:r>
      <w:r>
        <w:rPr>
          <w:lang w:eastAsia="en-AU"/>
        </w:rPr>
        <w:t>]</w:t>
      </w:r>
      <w:r w:rsidRPr="00612D6A">
        <w:rPr>
          <w:lang w:eastAsia="en-AU"/>
        </w:rPr>
        <w:t xml:space="preserve"> in the </w:t>
      </w:r>
      <w:r>
        <w:rPr>
          <w:lang w:eastAsia="en-AU"/>
        </w:rPr>
        <w:t>Interest</w:t>
      </w:r>
      <w:r w:rsidRPr="00612D6A">
        <w:rPr>
          <w:lang w:eastAsia="en-AU"/>
        </w:rPr>
        <w:t xml:space="preserve"> Period</w:t>
      </w:r>
      <w:r>
        <w:rPr>
          <w:lang w:eastAsia="en-AU"/>
        </w:rPr>
        <w:t>;</w:t>
      </w:r>
    </w:p>
    <w:p w14:paraId="2D780439" w14:textId="77777777" w:rsidR="006414D2" w:rsidRPr="00DC5DD5" w:rsidRDefault="006414D2" w:rsidP="006414D2">
      <w:pPr>
        <w:pStyle w:val="Heading1"/>
        <w:numPr>
          <w:ilvl w:val="0"/>
          <w:numId w:val="0"/>
        </w:numPr>
        <w:ind w:left="2207" w:hanging="1470"/>
        <w:rPr>
          <w:lang w:eastAsia="en-AU"/>
        </w:rPr>
      </w:pPr>
      <w:r w:rsidRPr="004D44FD">
        <w:rPr>
          <w:b/>
          <w:bCs/>
          <w:i/>
          <w:iCs/>
          <w:lang w:eastAsia="en-AU"/>
        </w:rPr>
        <w:t>AONIA</w:t>
      </w:r>
      <w:r w:rsidRPr="004D44FD">
        <w:rPr>
          <w:b/>
          <w:bCs/>
          <w:i/>
          <w:iCs/>
          <w:vertAlign w:val="subscript"/>
          <w:lang w:eastAsia="en-AU"/>
        </w:rPr>
        <w:t>i-5BD</w:t>
      </w:r>
      <w:r>
        <w:rPr>
          <w:lang w:eastAsia="en-AU"/>
        </w:rPr>
        <w:tab/>
      </w:r>
      <w:r w:rsidRPr="00DC5DD5">
        <w:rPr>
          <w:lang w:eastAsia="en-AU"/>
        </w:rPr>
        <w:t xml:space="preserve">means </w:t>
      </w:r>
      <w:r w:rsidRPr="005B6C5D">
        <w:rPr>
          <w:lang w:eastAsia="en-AU"/>
        </w:rPr>
        <w:t xml:space="preserve">the per annum rate expressed as a decimal </w:t>
      </w:r>
      <w:r>
        <w:rPr>
          <w:lang w:eastAsia="en-AU"/>
        </w:rPr>
        <w:t>which is</w:t>
      </w:r>
      <w:r w:rsidRPr="005B6C5D">
        <w:rPr>
          <w:lang w:eastAsia="en-AU"/>
        </w:rPr>
        <w:t xml:space="preserve"> the level of AONIA provided by the Administrator </w:t>
      </w:r>
      <w:r>
        <w:rPr>
          <w:lang w:eastAsia="en-AU"/>
        </w:rPr>
        <w:t>[</w:t>
      </w:r>
      <w:r w:rsidRPr="005B6C5D">
        <w:rPr>
          <w:lang w:eastAsia="en-AU"/>
        </w:rPr>
        <w:t>and published as of the Publication Time</w:t>
      </w:r>
      <w:r>
        <w:rPr>
          <w:lang w:eastAsia="en-AU"/>
        </w:rPr>
        <w:t>]</w:t>
      </w:r>
      <w:r w:rsidRPr="000A31D4">
        <w:rPr>
          <w:lang w:eastAsia="en-AU"/>
        </w:rPr>
        <w:t xml:space="preserve"> </w:t>
      </w:r>
      <w:r w:rsidRPr="00DC5DD5">
        <w:rPr>
          <w:lang w:eastAsia="en-AU"/>
        </w:rPr>
        <w:t>for</w:t>
      </w:r>
      <w:r>
        <w:rPr>
          <w:lang w:eastAsia="en-AU"/>
        </w:rPr>
        <w:t>]</w:t>
      </w:r>
      <w:r w:rsidRPr="00DC5DD5">
        <w:rPr>
          <w:lang w:eastAsia="en-AU"/>
        </w:rPr>
        <w:t xml:space="preserve"> the </w:t>
      </w:r>
      <w:r>
        <w:rPr>
          <w:lang w:eastAsia="en-AU"/>
        </w:rPr>
        <w:t>[</w:t>
      </w:r>
      <w:r w:rsidRPr="00DC5DD5">
        <w:rPr>
          <w:lang w:eastAsia="en-AU"/>
        </w:rPr>
        <w:t>Business Day</w:t>
      </w:r>
      <w:r>
        <w:rPr>
          <w:lang w:eastAsia="en-AU"/>
        </w:rPr>
        <w:t>]</w:t>
      </w:r>
      <w:r w:rsidRPr="00DC5DD5">
        <w:rPr>
          <w:lang w:eastAsia="en-AU"/>
        </w:rPr>
        <w:t xml:space="preserve"> falling </w:t>
      </w:r>
      <w:r>
        <w:rPr>
          <w:lang w:eastAsia="en-AU"/>
        </w:rPr>
        <w:t>[five]</w:t>
      </w:r>
      <w:r w:rsidRPr="00DC5DD5">
        <w:rPr>
          <w:lang w:eastAsia="en-AU"/>
        </w:rPr>
        <w:t xml:space="preserve"> </w:t>
      </w:r>
      <w:r>
        <w:rPr>
          <w:lang w:eastAsia="en-AU"/>
        </w:rPr>
        <w:t>[</w:t>
      </w:r>
      <w:r w:rsidRPr="00DC5DD5">
        <w:rPr>
          <w:lang w:eastAsia="en-AU"/>
        </w:rPr>
        <w:t>Business Days</w:t>
      </w:r>
      <w:r>
        <w:rPr>
          <w:lang w:eastAsia="en-AU"/>
        </w:rPr>
        <w:t>]</w:t>
      </w:r>
      <w:r w:rsidRPr="00DC5DD5">
        <w:rPr>
          <w:lang w:eastAsia="en-AU"/>
        </w:rPr>
        <w:t xml:space="preserve"> prior to such </w:t>
      </w:r>
      <w:r>
        <w:rPr>
          <w:lang w:eastAsia="en-AU"/>
        </w:rPr>
        <w:t>[</w:t>
      </w:r>
      <w:r w:rsidRPr="00DC5DD5">
        <w:rPr>
          <w:lang w:eastAsia="en-AU"/>
        </w:rPr>
        <w:t>Business Day</w:t>
      </w:r>
      <w:r>
        <w:rPr>
          <w:lang w:eastAsia="en-AU"/>
        </w:rPr>
        <w:t>]</w:t>
      </w:r>
      <w:r w:rsidRPr="00DC5DD5">
        <w:rPr>
          <w:lang w:eastAsia="en-AU"/>
        </w:rPr>
        <w:t xml:space="preserve"> “</w:t>
      </w:r>
      <w:r w:rsidRPr="00254D1F">
        <w:rPr>
          <w:i/>
          <w:iCs/>
          <w:lang w:eastAsia="en-AU"/>
        </w:rPr>
        <w:t>i</w:t>
      </w:r>
      <w:r>
        <w:rPr>
          <w:lang w:eastAsia="en-AU"/>
        </w:rPr>
        <w:t>”</w:t>
      </w:r>
      <w:r w:rsidRPr="00DC5DD5">
        <w:rPr>
          <w:lang w:eastAsia="en-AU"/>
        </w:rPr>
        <w:t>;</w:t>
      </w:r>
    </w:p>
    <w:p w14:paraId="7046BDF2" w14:textId="77777777" w:rsidR="006414D2" w:rsidRDefault="006414D2" w:rsidP="006414D2">
      <w:pPr>
        <w:pStyle w:val="Heading1"/>
        <w:numPr>
          <w:ilvl w:val="0"/>
          <w:numId w:val="0"/>
        </w:numPr>
        <w:ind w:left="2207" w:hanging="1470"/>
        <w:rPr>
          <w:lang w:eastAsia="en-AU"/>
        </w:rPr>
      </w:pPr>
      <w:r>
        <w:rPr>
          <w:b/>
          <w:bCs/>
          <w:i/>
          <w:iCs/>
          <w:lang w:eastAsia="en-AU"/>
        </w:rPr>
        <w:t>i</w:t>
      </w:r>
      <w:r>
        <w:rPr>
          <w:lang w:eastAsia="en-AU"/>
        </w:rPr>
        <w:tab/>
      </w:r>
      <w:r>
        <w:rPr>
          <w:lang w:eastAsia="en-AU"/>
        </w:rPr>
        <w:tab/>
      </w:r>
      <w:r w:rsidRPr="00DC5DD5">
        <w:rPr>
          <w:lang w:eastAsia="en-AU"/>
        </w:rPr>
        <w:t xml:space="preserve">is a series of whole numbers from 1 to </w:t>
      </w:r>
      <w:r w:rsidRPr="005B07DA">
        <w:rPr>
          <w:i/>
          <w:iCs/>
          <w:lang w:eastAsia="en-AU"/>
        </w:rPr>
        <w:t>d</w:t>
      </w:r>
      <w:r w:rsidRPr="00394C09">
        <w:rPr>
          <w:i/>
          <w:iCs/>
          <w:vertAlign w:val="subscript"/>
          <w:lang w:eastAsia="en-AU"/>
        </w:rPr>
        <w:t>0</w:t>
      </w:r>
      <w:r w:rsidRPr="00DC5DD5">
        <w:rPr>
          <w:lang w:eastAsia="en-AU"/>
        </w:rPr>
        <w:t xml:space="preserve">, each representing the relevant </w:t>
      </w:r>
      <w:r>
        <w:rPr>
          <w:lang w:eastAsia="en-AU"/>
        </w:rPr>
        <w:t>[</w:t>
      </w:r>
      <w:r w:rsidRPr="00DC5DD5">
        <w:rPr>
          <w:lang w:eastAsia="en-AU"/>
        </w:rPr>
        <w:t>Business Day</w:t>
      </w:r>
      <w:r>
        <w:rPr>
          <w:lang w:eastAsia="en-AU"/>
        </w:rPr>
        <w:t>]</w:t>
      </w:r>
      <w:r w:rsidRPr="00DC5DD5">
        <w:rPr>
          <w:lang w:eastAsia="en-AU"/>
        </w:rPr>
        <w:t xml:space="preserve"> in chronological order from (and including) the first </w:t>
      </w:r>
      <w:r>
        <w:rPr>
          <w:lang w:eastAsia="en-AU"/>
        </w:rPr>
        <w:t>[</w:t>
      </w:r>
      <w:r w:rsidRPr="00DC5DD5">
        <w:rPr>
          <w:lang w:eastAsia="en-AU"/>
        </w:rPr>
        <w:t>Business Day</w:t>
      </w:r>
      <w:r>
        <w:rPr>
          <w:lang w:eastAsia="en-AU"/>
        </w:rPr>
        <w:t>]</w:t>
      </w:r>
      <w:r w:rsidRPr="00DC5DD5">
        <w:rPr>
          <w:lang w:eastAsia="en-AU"/>
        </w:rPr>
        <w:t xml:space="preserve"> in the relevant Interest Period to (and including) the last </w:t>
      </w:r>
      <w:r>
        <w:rPr>
          <w:lang w:eastAsia="en-AU"/>
        </w:rPr>
        <w:t>[</w:t>
      </w:r>
      <w:r w:rsidRPr="00DC5DD5">
        <w:rPr>
          <w:lang w:eastAsia="en-AU"/>
        </w:rPr>
        <w:t>Business Day</w:t>
      </w:r>
      <w:r>
        <w:rPr>
          <w:lang w:eastAsia="en-AU"/>
        </w:rPr>
        <w:t>]</w:t>
      </w:r>
      <w:r w:rsidRPr="00DC5DD5">
        <w:rPr>
          <w:lang w:eastAsia="en-AU"/>
        </w:rPr>
        <w:t xml:space="preserve"> in such Interest Period; and</w:t>
      </w:r>
    </w:p>
    <w:p w14:paraId="64F1D271" w14:textId="77777777" w:rsidR="006414D2" w:rsidRPr="00D744EA" w:rsidRDefault="006414D2" w:rsidP="006414D2">
      <w:pPr>
        <w:pStyle w:val="Heading1"/>
        <w:numPr>
          <w:ilvl w:val="0"/>
          <w:numId w:val="0"/>
        </w:numPr>
        <w:ind w:left="2207" w:hanging="1470"/>
        <w:rPr>
          <w:lang w:eastAsia="en-AU"/>
        </w:rPr>
      </w:pPr>
      <w:proofErr w:type="spellStart"/>
      <w:r w:rsidRPr="004D44FD">
        <w:rPr>
          <w:b/>
          <w:bCs/>
          <w:i/>
          <w:iCs/>
          <w:lang w:eastAsia="en-AU"/>
        </w:rPr>
        <w:t>n</w:t>
      </w:r>
      <w:r w:rsidRPr="004D44FD">
        <w:rPr>
          <w:b/>
          <w:bCs/>
          <w:i/>
          <w:vertAlign w:val="subscript"/>
          <w:lang w:eastAsia="en-AU"/>
        </w:rPr>
        <w:t>i</w:t>
      </w:r>
      <w:proofErr w:type="spellEnd"/>
      <w:r>
        <w:rPr>
          <w:lang w:eastAsia="en-AU"/>
        </w:rPr>
        <w:tab/>
      </w:r>
      <w:r w:rsidRPr="00DC5DD5">
        <w:rPr>
          <w:lang w:eastAsia="en-AU"/>
        </w:rPr>
        <w:t xml:space="preserve">for any </w:t>
      </w:r>
      <w:r>
        <w:rPr>
          <w:lang w:eastAsia="en-AU"/>
        </w:rPr>
        <w:t>[</w:t>
      </w:r>
      <w:r w:rsidRPr="00DC5DD5">
        <w:rPr>
          <w:lang w:eastAsia="en-AU"/>
        </w:rPr>
        <w:t>Business Day</w:t>
      </w:r>
      <w:r>
        <w:rPr>
          <w:lang w:eastAsia="en-AU"/>
        </w:rPr>
        <w:t>]</w:t>
      </w:r>
      <w:r w:rsidRPr="00DC5DD5">
        <w:rPr>
          <w:lang w:eastAsia="en-AU"/>
        </w:rPr>
        <w:t xml:space="preserve"> “</w:t>
      </w:r>
      <w:r w:rsidRPr="002D12AE">
        <w:rPr>
          <w:i/>
          <w:iCs/>
          <w:lang w:eastAsia="en-AU"/>
        </w:rPr>
        <w:t>i</w:t>
      </w:r>
      <w:r w:rsidRPr="00DC5DD5">
        <w:rPr>
          <w:lang w:eastAsia="en-AU"/>
        </w:rPr>
        <w:t>”, means the number of calendar days from (and including) such Business Day “</w:t>
      </w:r>
      <w:r w:rsidRPr="002D12AE">
        <w:rPr>
          <w:i/>
          <w:iCs/>
          <w:lang w:eastAsia="en-AU"/>
        </w:rPr>
        <w:t>i</w:t>
      </w:r>
      <w:r w:rsidRPr="00DC5DD5">
        <w:rPr>
          <w:lang w:eastAsia="en-AU"/>
        </w:rPr>
        <w:t xml:space="preserve">” up to (but excluding) the following </w:t>
      </w:r>
      <w:r>
        <w:rPr>
          <w:lang w:eastAsia="en-AU"/>
        </w:rPr>
        <w:t>[</w:t>
      </w:r>
      <w:r w:rsidRPr="00DC5DD5">
        <w:rPr>
          <w:lang w:eastAsia="en-AU"/>
        </w:rPr>
        <w:t xml:space="preserve">Business </w:t>
      </w:r>
      <w:r w:rsidRPr="007F2238">
        <w:rPr>
          <w:lang w:eastAsia="en-AU"/>
        </w:rPr>
        <w:t>Day].</w:t>
      </w:r>
    </w:p>
    <w:p w14:paraId="2C2317B0" w14:textId="77777777" w:rsidR="006414D2" w:rsidRDefault="006414D2" w:rsidP="006414D2">
      <w:pPr>
        <w:pStyle w:val="Heading1"/>
        <w:numPr>
          <w:ilvl w:val="0"/>
          <w:numId w:val="0"/>
        </w:numPr>
        <w:rPr>
          <w:lang w:eastAsia="en-AU"/>
        </w:rPr>
      </w:pPr>
      <w:r>
        <w:rPr>
          <w:lang w:eastAsia="en-AU"/>
        </w:rPr>
        <w:t>If for any reason Compounded Daily AONIA needs to be determined for a period other than an Interest Period, Compounded Daily AONIA is to be determined as if that period were an Interest Period starting on [(and including)] the first day of that period and ending on [(but excluding)] the last day of that period.</w:t>
      </w:r>
    </w:p>
    <w:p w14:paraId="59507E39" w14:textId="77777777" w:rsidR="006414D2" w:rsidRDefault="006414D2" w:rsidP="006414D2">
      <w:pPr>
        <w:pStyle w:val="Heading1"/>
        <w:numPr>
          <w:ilvl w:val="0"/>
          <w:numId w:val="0"/>
        </w:numPr>
        <w:rPr>
          <w:lang w:eastAsia="en-AU"/>
        </w:rPr>
      </w:pPr>
      <w:r>
        <w:rPr>
          <w:lang w:eastAsia="en-AU"/>
        </w:rPr>
        <w:lastRenderedPageBreak/>
        <w:t>“</w:t>
      </w:r>
      <w:r w:rsidRPr="00B60700">
        <w:rPr>
          <w:b/>
          <w:bCs/>
          <w:lang w:eastAsia="en-AU"/>
        </w:rPr>
        <w:t>Fallback Rate</w:t>
      </w:r>
      <w:r>
        <w:rPr>
          <w:lang w:eastAsia="en-AU"/>
        </w:rPr>
        <w:t>” means, in respect of a Permanent Discontinuation Fallback for an Applicable Benchmark Rate, the rate that applies to replace that Applicable Benchmark Rate in accordance with the definition of</w:t>
      </w:r>
      <w:r w:rsidRPr="00B60700">
        <w:rPr>
          <w:lang w:eastAsia="en-AU"/>
        </w:rPr>
        <w:t xml:space="preserve"> </w:t>
      </w:r>
      <w:r>
        <w:rPr>
          <w:lang w:eastAsia="en-AU"/>
        </w:rPr>
        <w:t>Permanent Discontinuation Fallback.</w:t>
      </w:r>
    </w:p>
    <w:p w14:paraId="00072EE5" w14:textId="77777777" w:rsidR="006414D2" w:rsidRDefault="006414D2" w:rsidP="006414D2">
      <w:pPr>
        <w:pStyle w:val="Heading1"/>
        <w:numPr>
          <w:ilvl w:val="0"/>
          <w:numId w:val="0"/>
        </w:numPr>
        <w:rPr>
          <w:lang w:eastAsia="en-AU"/>
        </w:rPr>
      </w:pPr>
      <w:r w:rsidRPr="00975240">
        <w:rPr>
          <w:lang w:eastAsia="en-AU"/>
        </w:rPr>
        <w:t xml:space="preserve">When calculating interest in circumstances where a Fallback Rate other than the Final Fallback Rate applies, that interest will be calculated as if references to the BBSW Rate were references to that Fallback Rate.  When calculating interest in circumstances where the Final Fallback Rate applies, that interest will be calculated on the </w:t>
      </w:r>
      <w:r>
        <w:rPr>
          <w:lang w:eastAsia="en-AU"/>
        </w:rPr>
        <w:t xml:space="preserve">same </w:t>
      </w:r>
      <w:r w:rsidRPr="00975240">
        <w:rPr>
          <w:lang w:eastAsia="en-AU"/>
        </w:rPr>
        <w:t>basis</w:t>
      </w:r>
      <w:r>
        <w:rPr>
          <w:lang w:eastAsia="en-AU"/>
        </w:rPr>
        <w:t xml:space="preserve"> as if</w:t>
      </w:r>
      <w:r w:rsidRPr="00975240">
        <w:rPr>
          <w:lang w:eastAsia="en-AU"/>
        </w:rPr>
        <w:t xml:space="preserve"> the Applicable Benchmark Rate in effect immediately prior to the application of that Final Fallback Rate</w:t>
      </w:r>
      <w:r>
        <w:rPr>
          <w:lang w:eastAsia="en-AU"/>
        </w:rPr>
        <w:t xml:space="preserve"> remained in effect but with necessary adjustments to substitute all references to that Applicable Benchmark Rate with corresponding references to the Final Fallback Rate.</w:t>
      </w:r>
    </w:p>
    <w:p w14:paraId="2E9EC708" w14:textId="77777777" w:rsidR="006414D2" w:rsidRDefault="006414D2" w:rsidP="006414D2">
      <w:pPr>
        <w:pStyle w:val="Heading1"/>
        <w:numPr>
          <w:ilvl w:val="0"/>
          <w:numId w:val="0"/>
        </w:numPr>
        <w:rPr>
          <w:lang w:eastAsia="en-AU"/>
        </w:rPr>
      </w:pPr>
      <w:r w:rsidRPr="00D764BB">
        <w:rPr>
          <w:lang w:eastAsia="en-AU"/>
        </w:rPr>
        <w:t>“</w:t>
      </w:r>
      <w:r w:rsidRPr="00227EF9">
        <w:rPr>
          <w:b/>
          <w:bCs/>
          <w:lang w:eastAsia="en-AU"/>
        </w:rPr>
        <w:t>Fallback Rate (AONIA) Screen</w:t>
      </w:r>
      <w:r w:rsidRPr="00D764BB">
        <w:rPr>
          <w:lang w:eastAsia="en-AU"/>
        </w:rPr>
        <w:t xml:space="preserve">” means the Bloomberg Screen corresponding to the Bloomberg ticker for the fallback for </w:t>
      </w:r>
      <w:r>
        <w:rPr>
          <w:lang w:eastAsia="en-AU"/>
        </w:rPr>
        <w:t xml:space="preserve">the </w:t>
      </w:r>
      <w:r w:rsidRPr="00D764BB">
        <w:rPr>
          <w:lang w:eastAsia="en-AU"/>
        </w:rPr>
        <w:t xml:space="preserve">BBSW </w:t>
      </w:r>
      <w:r>
        <w:rPr>
          <w:lang w:eastAsia="en-AU"/>
        </w:rPr>
        <w:t>Rate</w:t>
      </w:r>
      <w:r w:rsidRPr="00D764BB">
        <w:rPr>
          <w:lang w:eastAsia="en-AU"/>
        </w:rPr>
        <w:t xml:space="preserve"> accessed via the Bloomberg Screen &lt;FBAK&gt; &lt;GO&gt; Page (or, if applicable, accessed via the Bloomberg Screen &lt;HP&gt; &lt;GO&gt;) or any other published source designated by Bloomberg Index Services Limited (or a successor provider as approved and/or appointed by ISDA from time to time).</w:t>
      </w:r>
    </w:p>
    <w:p w14:paraId="1C464E75" w14:textId="77777777" w:rsidR="006414D2" w:rsidRDefault="006414D2" w:rsidP="006414D2">
      <w:pPr>
        <w:pStyle w:val="Heading1"/>
        <w:numPr>
          <w:ilvl w:val="0"/>
          <w:numId w:val="0"/>
        </w:numPr>
        <w:rPr>
          <w:lang w:eastAsia="en-AU"/>
        </w:rPr>
      </w:pPr>
      <w:r w:rsidRPr="007F7062">
        <w:rPr>
          <w:lang w:eastAsia="en-AU"/>
        </w:rPr>
        <w:t>“</w:t>
      </w:r>
      <w:r w:rsidRPr="007F7062">
        <w:rPr>
          <w:b/>
          <w:bCs/>
          <w:lang w:eastAsia="en-AU"/>
        </w:rPr>
        <w:t>Final Fallback Rate</w:t>
      </w:r>
      <w:r w:rsidRPr="007F7062">
        <w:rPr>
          <w:lang w:eastAsia="en-AU"/>
        </w:rPr>
        <w:t>” means, in respect of an Applicable Benchmark Rate, the rate</w:t>
      </w:r>
      <w:r>
        <w:rPr>
          <w:lang w:eastAsia="en-AU"/>
        </w:rPr>
        <w:t>:</w:t>
      </w:r>
    </w:p>
    <w:p w14:paraId="503CA9BB" w14:textId="77777777" w:rsidR="006414D2" w:rsidRPr="00222F2D" w:rsidRDefault="006414D2" w:rsidP="006414D2">
      <w:pPr>
        <w:pStyle w:val="Heading1"/>
        <w:numPr>
          <w:ilvl w:val="0"/>
          <w:numId w:val="0"/>
        </w:numPr>
        <w:ind w:left="737" w:hanging="737"/>
        <w:rPr>
          <w:lang w:eastAsia="en-AU"/>
        </w:rPr>
      </w:pPr>
      <w:r>
        <w:rPr>
          <w:lang w:eastAsia="en-AU"/>
        </w:rPr>
        <w:t>(a)</w:t>
      </w:r>
      <w:r>
        <w:rPr>
          <w:lang w:eastAsia="en-AU"/>
        </w:rPr>
        <w:tab/>
      </w:r>
      <w:r w:rsidRPr="00222F2D">
        <w:rPr>
          <w:lang w:eastAsia="en-AU"/>
        </w:rPr>
        <w:t xml:space="preserve">determined by the [Calculation Agent] as a commercially reasonable alternative for the Applicable Benchmark Rate taking into account all available information that in good faith it considers relevant, provided that any rate </w:t>
      </w:r>
      <w:r w:rsidRPr="005A50B5">
        <w:rPr>
          <w:lang w:eastAsia="en-AU"/>
        </w:rPr>
        <w:t>(inclusive of any spreads or adjustments)</w:t>
      </w:r>
      <w:r>
        <w:rPr>
          <w:lang w:eastAsia="en-AU"/>
        </w:rPr>
        <w:t xml:space="preserve"> </w:t>
      </w:r>
      <w:r w:rsidRPr="00222F2D">
        <w:rPr>
          <w:lang w:eastAsia="en-AU"/>
        </w:rPr>
        <w:t>implemented by central counterparties and / or futures exchanges with representative trade volumes in derivatives or futures referencing that Applicable Benchmark Rate will be deemed to be acceptable for the purposes of this paragraph (a);</w:t>
      </w:r>
    </w:p>
    <w:p w14:paraId="424852DC" w14:textId="77777777" w:rsidR="006414D2" w:rsidRDefault="006414D2" w:rsidP="006414D2">
      <w:pPr>
        <w:pStyle w:val="Heading1"/>
        <w:numPr>
          <w:ilvl w:val="0"/>
          <w:numId w:val="0"/>
        </w:numPr>
        <w:ind w:left="737" w:hanging="737"/>
        <w:rPr>
          <w:lang w:eastAsia="en-AU"/>
        </w:rPr>
      </w:pPr>
      <w:r w:rsidRPr="00222F2D">
        <w:rPr>
          <w:lang w:eastAsia="en-AU"/>
        </w:rPr>
        <w:t>(b)</w:t>
      </w:r>
      <w:r w:rsidRPr="00222F2D">
        <w:rPr>
          <w:lang w:eastAsia="en-AU"/>
        </w:rPr>
        <w:tab/>
        <w:t>if the [Calculation Agent</w:t>
      </w:r>
      <w:r w:rsidRPr="00971B7C">
        <w:rPr>
          <w:lang w:eastAsia="en-AU"/>
        </w:rPr>
        <w:t xml:space="preserve">] is unable </w:t>
      </w:r>
      <w:r>
        <w:rPr>
          <w:lang w:eastAsia="en-AU"/>
        </w:rPr>
        <w:t xml:space="preserve">or unwilling </w:t>
      </w:r>
      <w:r w:rsidRPr="00971B7C">
        <w:rPr>
          <w:lang w:eastAsia="en-AU"/>
        </w:rPr>
        <w:t>to</w:t>
      </w:r>
      <w:r>
        <w:rPr>
          <w:lang w:eastAsia="en-AU"/>
        </w:rPr>
        <w:t xml:space="preserve"> determine</w:t>
      </w:r>
      <w:r w:rsidRPr="00971B7C">
        <w:rPr>
          <w:lang w:eastAsia="en-AU"/>
        </w:rPr>
        <w:t xml:space="preserve"> </w:t>
      </w:r>
      <w:r>
        <w:rPr>
          <w:lang w:eastAsia="en-AU"/>
        </w:rPr>
        <w:t>a reasonable alternative,</w:t>
      </w:r>
      <w:r w:rsidRPr="00971B7C">
        <w:rPr>
          <w:lang w:eastAsia="en-AU"/>
        </w:rPr>
        <w:t xml:space="preserve"> determined by an alternative financial institution </w:t>
      </w:r>
      <w:r>
        <w:rPr>
          <w:lang w:eastAsia="en-AU"/>
        </w:rPr>
        <w:t>(</w:t>
      </w:r>
      <w:r w:rsidRPr="00971B7C">
        <w:rPr>
          <w:lang w:eastAsia="en-AU"/>
        </w:rPr>
        <w:t xml:space="preserve">appointed by the </w:t>
      </w:r>
      <w:r>
        <w:rPr>
          <w:lang w:eastAsia="en-AU"/>
        </w:rPr>
        <w:t>[Manager] in its sole discretion</w:t>
      </w:r>
      <w:r w:rsidRPr="00971B7C">
        <w:rPr>
          <w:lang w:eastAsia="en-AU"/>
        </w:rPr>
        <w:t>) acting in good faith and in a commercially reasonable manner</w:t>
      </w:r>
      <w:r>
        <w:rPr>
          <w:lang w:eastAsia="en-AU"/>
        </w:rPr>
        <w:t>; or</w:t>
      </w:r>
    </w:p>
    <w:p w14:paraId="6B9F9949" w14:textId="77777777" w:rsidR="006414D2" w:rsidRDefault="006414D2" w:rsidP="006414D2">
      <w:pPr>
        <w:pStyle w:val="Heading1"/>
        <w:numPr>
          <w:ilvl w:val="0"/>
          <w:numId w:val="0"/>
        </w:numPr>
        <w:ind w:left="737" w:hanging="737"/>
        <w:rPr>
          <w:lang w:eastAsia="en-AU"/>
        </w:rPr>
      </w:pPr>
      <w:r>
        <w:rPr>
          <w:lang w:eastAsia="en-AU"/>
        </w:rPr>
        <w:t>(c)</w:t>
      </w:r>
      <w:r>
        <w:rPr>
          <w:lang w:eastAsia="en-AU"/>
        </w:rPr>
        <w:tab/>
        <w:t xml:space="preserve">if and for so long as the [Manager] is unable to appoint an alternative financial institution or the appointed </w:t>
      </w:r>
      <w:r w:rsidRPr="00971B7C">
        <w:rPr>
          <w:lang w:eastAsia="en-AU"/>
        </w:rPr>
        <w:t>alternative financial institution</w:t>
      </w:r>
      <w:r>
        <w:rPr>
          <w:lang w:eastAsia="en-AU"/>
        </w:rPr>
        <w:t xml:space="preserve"> is unable or unwilling to determine a rate in accordance with paragraph (b), which is </w:t>
      </w:r>
      <w:r w:rsidRPr="002739F4">
        <w:rPr>
          <w:lang w:eastAsia="en-AU"/>
        </w:rPr>
        <w:t xml:space="preserve">the last provided or published level of </w:t>
      </w:r>
      <w:r>
        <w:rPr>
          <w:lang w:eastAsia="en-AU"/>
        </w:rPr>
        <w:t>that Applicable Benchmark Rate.</w:t>
      </w:r>
    </w:p>
    <w:p w14:paraId="64C87DC7" w14:textId="77777777" w:rsidR="006414D2" w:rsidRDefault="006414D2" w:rsidP="006414D2">
      <w:pPr>
        <w:pStyle w:val="Heading1"/>
        <w:numPr>
          <w:ilvl w:val="0"/>
          <w:numId w:val="0"/>
        </w:numPr>
        <w:rPr>
          <w:lang w:eastAsia="en-AU"/>
        </w:rPr>
      </w:pPr>
      <w:r w:rsidRPr="007E45C2">
        <w:rPr>
          <w:lang w:eastAsia="en-AU"/>
        </w:rPr>
        <w:t>“</w:t>
      </w:r>
      <w:r>
        <w:rPr>
          <w:b/>
          <w:bCs/>
          <w:lang w:eastAsia="en-AU"/>
        </w:rPr>
        <w:t>Interest Determination</w:t>
      </w:r>
      <w:r w:rsidRPr="008A08AA">
        <w:rPr>
          <w:b/>
          <w:bCs/>
          <w:lang w:eastAsia="en-AU"/>
        </w:rPr>
        <w:t xml:space="preserve"> Date</w:t>
      </w:r>
      <w:r w:rsidRPr="007E45C2">
        <w:rPr>
          <w:lang w:eastAsia="en-AU"/>
        </w:rPr>
        <w:t>”</w:t>
      </w:r>
      <w:r>
        <w:rPr>
          <w:lang w:eastAsia="en-AU"/>
        </w:rPr>
        <w:t xml:space="preserve"> means, in respect of an Interest Period:</w:t>
      </w:r>
    </w:p>
    <w:p w14:paraId="7A8E29A9" w14:textId="77777777" w:rsidR="006414D2" w:rsidRDefault="006414D2" w:rsidP="006414D2">
      <w:pPr>
        <w:pStyle w:val="Heading1"/>
        <w:numPr>
          <w:ilvl w:val="0"/>
          <w:numId w:val="0"/>
        </w:numPr>
        <w:ind w:left="735" w:hanging="735"/>
        <w:rPr>
          <w:lang w:eastAsia="en-AU"/>
        </w:rPr>
      </w:pPr>
      <w:r>
        <w:rPr>
          <w:lang w:eastAsia="en-AU"/>
        </w:rPr>
        <w:t>(a)</w:t>
      </w:r>
      <w:r>
        <w:rPr>
          <w:lang w:eastAsia="en-AU"/>
        </w:rPr>
        <w:tab/>
        <w:t>where the BBSW Rate applies or the Final Fallback Rate applies under paragraph (a)(iii) of the definition of Permanent Discontinuation Fallback, the first day of that [Interest Period]; and</w:t>
      </w:r>
    </w:p>
    <w:p w14:paraId="3AE12797" w14:textId="77777777" w:rsidR="006414D2" w:rsidRDefault="006414D2" w:rsidP="006414D2">
      <w:pPr>
        <w:pStyle w:val="Heading1"/>
        <w:numPr>
          <w:ilvl w:val="0"/>
          <w:numId w:val="0"/>
        </w:numPr>
        <w:ind w:left="735" w:hanging="735"/>
        <w:rPr>
          <w:lang w:eastAsia="en-AU"/>
        </w:rPr>
      </w:pPr>
      <w:r>
        <w:rPr>
          <w:lang w:eastAsia="en-AU"/>
        </w:rPr>
        <w:t>(b)</w:t>
      </w:r>
      <w:r>
        <w:rPr>
          <w:lang w:eastAsia="en-AU"/>
        </w:rPr>
        <w:tab/>
        <w:t xml:space="preserve">otherwise, </w:t>
      </w:r>
      <w:r w:rsidRPr="00E9713F">
        <w:rPr>
          <w:lang w:eastAsia="en-AU"/>
        </w:rPr>
        <w:t xml:space="preserve">the </w:t>
      </w:r>
      <w:r>
        <w:rPr>
          <w:lang w:eastAsia="en-AU"/>
        </w:rPr>
        <w:t>[fifth]</w:t>
      </w:r>
      <w:r w:rsidRPr="00E9713F">
        <w:rPr>
          <w:lang w:eastAsia="en-AU"/>
        </w:rPr>
        <w:t xml:space="preserve"> </w:t>
      </w:r>
      <w:r>
        <w:rPr>
          <w:lang w:eastAsia="en-AU"/>
        </w:rPr>
        <w:t>[</w:t>
      </w:r>
      <w:r w:rsidRPr="00E9713F">
        <w:rPr>
          <w:lang w:eastAsia="en-AU"/>
        </w:rPr>
        <w:t>Business Day</w:t>
      </w:r>
      <w:r>
        <w:rPr>
          <w:lang w:eastAsia="en-AU"/>
        </w:rPr>
        <w:t>]</w:t>
      </w:r>
      <w:r w:rsidRPr="00E9713F">
        <w:rPr>
          <w:lang w:eastAsia="en-AU"/>
        </w:rPr>
        <w:t xml:space="preserve"> prior to the last day of </w:t>
      </w:r>
      <w:r>
        <w:rPr>
          <w:lang w:eastAsia="en-AU"/>
        </w:rPr>
        <w:t>that</w:t>
      </w:r>
      <w:r w:rsidRPr="00E9713F">
        <w:rPr>
          <w:lang w:eastAsia="en-AU"/>
        </w:rPr>
        <w:t xml:space="preserve"> Interest Period</w:t>
      </w:r>
      <w:r>
        <w:rPr>
          <w:lang w:eastAsia="en-AU"/>
        </w:rPr>
        <w:t>,</w:t>
      </w:r>
      <w:r>
        <w:rPr>
          <w:rStyle w:val="EndnoteReference"/>
          <w:lang w:eastAsia="en-AU"/>
        </w:rPr>
        <w:endnoteReference w:id="3"/>
      </w:r>
    </w:p>
    <w:p w14:paraId="6AB8949C" w14:textId="77777777" w:rsidR="006414D2" w:rsidRDefault="006414D2" w:rsidP="006414D2">
      <w:pPr>
        <w:pStyle w:val="Heading1"/>
        <w:numPr>
          <w:ilvl w:val="0"/>
          <w:numId w:val="0"/>
        </w:numPr>
        <w:rPr>
          <w:lang w:eastAsia="en-AU"/>
        </w:rPr>
      </w:pPr>
      <w:r>
        <w:rPr>
          <w:lang w:eastAsia="en-AU"/>
        </w:rPr>
        <w:t>subject in each case to adjustment in accordance with the [Business Day Convention].</w:t>
      </w:r>
    </w:p>
    <w:p w14:paraId="462A0CD2" w14:textId="77777777" w:rsidR="006414D2" w:rsidRPr="004B2069" w:rsidRDefault="006414D2" w:rsidP="006414D2">
      <w:pPr>
        <w:pStyle w:val="Heading1"/>
        <w:numPr>
          <w:ilvl w:val="0"/>
          <w:numId w:val="0"/>
        </w:numPr>
        <w:rPr>
          <w:lang w:eastAsia="en-AU"/>
        </w:rPr>
      </w:pPr>
      <w:r w:rsidRPr="004B2069">
        <w:rPr>
          <w:lang w:eastAsia="en-AU"/>
        </w:rPr>
        <w:t>“</w:t>
      </w:r>
      <w:r w:rsidRPr="004B2069">
        <w:rPr>
          <w:b/>
          <w:bCs/>
          <w:lang w:eastAsia="en-AU"/>
        </w:rPr>
        <w:t>Non-Representative</w:t>
      </w:r>
      <w:r w:rsidRPr="004B2069">
        <w:rPr>
          <w:lang w:eastAsia="en-AU"/>
        </w:rPr>
        <w:t>” means, in respect of an Applicable Benchmark Rate, that the Supervisor of that Applicable Benchmark Rate</w:t>
      </w:r>
      <w:r>
        <w:rPr>
          <w:lang w:eastAsia="en-AU"/>
        </w:rPr>
        <w:t xml:space="preserve"> if the </w:t>
      </w:r>
      <w:r w:rsidRPr="00915CA6">
        <w:rPr>
          <w:lang w:eastAsia="en-AU"/>
        </w:rPr>
        <w:t xml:space="preserve">Applicable </w:t>
      </w:r>
      <w:r>
        <w:rPr>
          <w:lang w:eastAsia="en-AU"/>
        </w:rPr>
        <w:t xml:space="preserve">Benchmark </w:t>
      </w:r>
      <w:r w:rsidRPr="00915CA6">
        <w:rPr>
          <w:lang w:eastAsia="en-AU"/>
        </w:rPr>
        <w:t>Rate</w:t>
      </w:r>
      <w:r>
        <w:rPr>
          <w:lang w:eastAsia="en-AU"/>
        </w:rPr>
        <w:t xml:space="preserve"> is the BBSW Rate, or the Administrator of the Applicable Benchmark Rate if the Applicable Benchmark Rate is AONIA or the RBA Recommended Rate</w:t>
      </w:r>
      <w:r w:rsidRPr="004B2069">
        <w:rPr>
          <w:lang w:eastAsia="en-AU"/>
        </w:rPr>
        <w:t>:</w:t>
      </w:r>
    </w:p>
    <w:p w14:paraId="563AC08F" w14:textId="77777777" w:rsidR="006414D2" w:rsidRPr="004B2069" w:rsidRDefault="006414D2" w:rsidP="006414D2">
      <w:pPr>
        <w:pStyle w:val="Heading1"/>
        <w:numPr>
          <w:ilvl w:val="0"/>
          <w:numId w:val="0"/>
        </w:numPr>
        <w:ind w:left="735" w:hanging="735"/>
        <w:rPr>
          <w:lang w:eastAsia="en-AU"/>
        </w:rPr>
      </w:pPr>
      <w:r w:rsidRPr="004B2069">
        <w:rPr>
          <w:lang w:eastAsia="en-AU"/>
        </w:rPr>
        <w:t>(a)</w:t>
      </w:r>
      <w:r w:rsidRPr="004B2069">
        <w:rPr>
          <w:lang w:eastAsia="en-AU"/>
        </w:rPr>
        <w:tab/>
        <w:t xml:space="preserve">has determined that such Applicable Benchmark Rate is no longer, or as of a specified future date will no longer be, representative of the underlying market and economic reality that such Applicable Benchmark Rate is intended to </w:t>
      </w:r>
      <w:proofErr w:type="gramStart"/>
      <w:r w:rsidRPr="004B2069">
        <w:rPr>
          <w:lang w:eastAsia="en-AU"/>
        </w:rPr>
        <w:t>measure</w:t>
      </w:r>
      <w:proofErr w:type="gramEnd"/>
      <w:r w:rsidRPr="004B2069">
        <w:rPr>
          <w:lang w:eastAsia="en-AU"/>
        </w:rPr>
        <w:t xml:space="preserve"> and that representativeness will not be restored; and </w:t>
      </w:r>
    </w:p>
    <w:p w14:paraId="26FA19D9" w14:textId="77777777" w:rsidR="006414D2" w:rsidRDefault="006414D2" w:rsidP="006414D2">
      <w:pPr>
        <w:pStyle w:val="Heading1"/>
        <w:numPr>
          <w:ilvl w:val="0"/>
          <w:numId w:val="0"/>
        </w:numPr>
        <w:ind w:left="735" w:hanging="735"/>
        <w:rPr>
          <w:lang w:eastAsia="en-AU"/>
        </w:rPr>
      </w:pPr>
      <w:r w:rsidRPr="004B2069">
        <w:rPr>
          <w:lang w:eastAsia="en-AU"/>
        </w:rPr>
        <w:lastRenderedPageBreak/>
        <w:t>(b)</w:t>
      </w:r>
      <w:r w:rsidRPr="004B2069">
        <w:rPr>
          <w:lang w:eastAsia="en-AU"/>
        </w:rPr>
        <w:tab/>
        <w:t>is aware that such determination will engage certain contractual triggers for fallbacks activated by pre-cessation announcements by such Supervisor (howsoever described) in contracts.</w:t>
      </w:r>
      <w:r>
        <w:rPr>
          <w:lang w:eastAsia="en-AU"/>
        </w:rPr>
        <w:t xml:space="preserve"> </w:t>
      </w:r>
    </w:p>
    <w:p w14:paraId="63BE62E3" w14:textId="77777777" w:rsidR="006414D2" w:rsidRDefault="006414D2" w:rsidP="006414D2">
      <w:pPr>
        <w:pStyle w:val="Heading1"/>
        <w:numPr>
          <w:ilvl w:val="0"/>
          <w:numId w:val="0"/>
        </w:numPr>
        <w:rPr>
          <w:lang w:eastAsia="en-AU"/>
        </w:rPr>
      </w:pPr>
      <w:r w:rsidRPr="006120F9">
        <w:rPr>
          <w:lang w:eastAsia="en-AU"/>
        </w:rPr>
        <w:t>“</w:t>
      </w:r>
      <w:bookmarkStart w:id="0" w:name="_Hlk115807561"/>
      <w:r>
        <w:rPr>
          <w:b/>
          <w:bCs/>
          <w:lang w:eastAsia="en-AU"/>
        </w:rPr>
        <w:t>Permanent</w:t>
      </w:r>
      <w:r w:rsidRPr="00C363B8">
        <w:rPr>
          <w:b/>
          <w:bCs/>
          <w:lang w:eastAsia="en-AU"/>
        </w:rPr>
        <w:t xml:space="preserve"> </w:t>
      </w:r>
      <w:r>
        <w:rPr>
          <w:b/>
          <w:bCs/>
          <w:lang w:eastAsia="en-AU"/>
        </w:rPr>
        <w:t>Discontinuation</w:t>
      </w:r>
      <w:r w:rsidRPr="00C363B8">
        <w:rPr>
          <w:b/>
          <w:bCs/>
          <w:lang w:eastAsia="en-AU"/>
        </w:rPr>
        <w:t xml:space="preserve"> Fallback</w:t>
      </w:r>
      <w:bookmarkEnd w:id="0"/>
      <w:r w:rsidRPr="006120F9">
        <w:rPr>
          <w:lang w:eastAsia="en-AU"/>
        </w:rPr>
        <w:t>”</w:t>
      </w:r>
      <w:r>
        <w:rPr>
          <w:rStyle w:val="EndnoteReference"/>
          <w:lang w:eastAsia="en-AU"/>
        </w:rPr>
        <w:endnoteReference w:id="4"/>
      </w:r>
      <w:r>
        <w:rPr>
          <w:lang w:eastAsia="en-AU"/>
        </w:rPr>
        <w:t xml:space="preserve"> means, in respect of:</w:t>
      </w:r>
    </w:p>
    <w:p w14:paraId="19E47C21" w14:textId="77777777" w:rsidR="006414D2" w:rsidRDefault="006414D2" w:rsidP="006414D2">
      <w:pPr>
        <w:pStyle w:val="Heading1"/>
        <w:numPr>
          <w:ilvl w:val="0"/>
          <w:numId w:val="0"/>
        </w:numPr>
        <w:ind w:left="735" w:hanging="735"/>
        <w:rPr>
          <w:lang w:eastAsia="en-AU"/>
        </w:rPr>
      </w:pPr>
      <w:r>
        <w:rPr>
          <w:lang w:eastAsia="en-AU"/>
        </w:rPr>
        <w:t>(a)</w:t>
      </w:r>
      <w:r>
        <w:rPr>
          <w:lang w:eastAsia="en-AU"/>
        </w:rPr>
        <w:tab/>
        <w:t xml:space="preserve">the BBSW Rate, that the rate for any day for which the BBSW Rate is required on or after the BBSW Rate </w:t>
      </w:r>
      <w:r w:rsidRPr="009144E5">
        <w:rPr>
          <w:lang w:eastAsia="en-AU"/>
        </w:rPr>
        <w:t xml:space="preserve">Permanent Fallback </w:t>
      </w:r>
      <w:r>
        <w:rPr>
          <w:lang w:eastAsia="en-AU"/>
        </w:rPr>
        <w:t>Effective Date will be:</w:t>
      </w:r>
    </w:p>
    <w:p w14:paraId="6D7AB369" w14:textId="77777777" w:rsidR="006414D2" w:rsidRPr="00DD6CEC" w:rsidRDefault="006414D2" w:rsidP="006414D2">
      <w:pPr>
        <w:pStyle w:val="Heading1"/>
        <w:numPr>
          <w:ilvl w:val="0"/>
          <w:numId w:val="0"/>
        </w:numPr>
        <w:ind w:left="1474" w:hanging="737"/>
        <w:rPr>
          <w:lang w:eastAsia="en-AU"/>
        </w:rPr>
      </w:pPr>
      <w:r>
        <w:rPr>
          <w:lang w:eastAsia="en-AU"/>
        </w:rPr>
        <w:t>(i)</w:t>
      </w:r>
      <w:r>
        <w:rPr>
          <w:lang w:eastAsia="en-AU"/>
        </w:rPr>
        <w:tab/>
        <w:t xml:space="preserve">if at the time the BBSW </w:t>
      </w:r>
      <w:r w:rsidRPr="00107644">
        <w:rPr>
          <w:lang w:eastAsia="en-AU"/>
        </w:rPr>
        <w:t>Rate Permanent Fallback Effective Date occurs, no AONIA Permanent Fallback Effective Date has occurred, the AONIA Fallback Rate;</w:t>
      </w:r>
    </w:p>
    <w:p w14:paraId="1741B08B" w14:textId="77777777" w:rsidR="006414D2" w:rsidRDefault="006414D2" w:rsidP="006414D2">
      <w:pPr>
        <w:pStyle w:val="Heading1"/>
        <w:numPr>
          <w:ilvl w:val="0"/>
          <w:numId w:val="0"/>
        </w:numPr>
        <w:ind w:left="1474" w:hanging="737"/>
        <w:rPr>
          <w:lang w:eastAsia="en-AU"/>
        </w:rPr>
      </w:pPr>
      <w:r w:rsidRPr="00DD6CEC">
        <w:rPr>
          <w:lang w:eastAsia="en-AU"/>
        </w:rPr>
        <w:t>(ii)</w:t>
      </w:r>
      <w:r w:rsidRPr="00DD6CEC">
        <w:rPr>
          <w:lang w:eastAsia="en-AU"/>
        </w:rPr>
        <w:tab/>
      </w:r>
      <w:r>
        <w:rPr>
          <w:lang w:eastAsia="en-AU"/>
        </w:rPr>
        <w:t xml:space="preserve">if at the time the BBSW Rate </w:t>
      </w:r>
      <w:r w:rsidRPr="009144E5">
        <w:rPr>
          <w:lang w:eastAsia="en-AU"/>
        </w:rPr>
        <w:t xml:space="preserve">Permanent Fallback </w:t>
      </w:r>
      <w:r>
        <w:rPr>
          <w:lang w:eastAsia="en-AU"/>
        </w:rPr>
        <w:t xml:space="preserve">Effective Date occurs, an AONIA </w:t>
      </w:r>
      <w:r w:rsidRPr="009144E5">
        <w:rPr>
          <w:lang w:eastAsia="en-AU"/>
        </w:rPr>
        <w:t xml:space="preserve">Permanent Fallback </w:t>
      </w:r>
      <w:r>
        <w:rPr>
          <w:lang w:eastAsia="en-AU"/>
        </w:rPr>
        <w:t>Effective Date has occurred, an RBA Recommended Rate has been created but no RBA Recommended Rate</w:t>
      </w:r>
      <w:r w:rsidRPr="009144E5">
        <w:rPr>
          <w:lang w:eastAsia="en-AU"/>
        </w:rPr>
        <w:t xml:space="preserve"> Permanent Fallback </w:t>
      </w:r>
      <w:r>
        <w:rPr>
          <w:lang w:eastAsia="en-AU"/>
        </w:rPr>
        <w:t>Effective Date has occurred</w:t>
      </w:r>
      <w:r w:rsidRPr="007D4398">
        <w:rPr>
          <w:lang w:eastAsia="en-AU"/>
        </w:rPr>
        <w:t xml:space="preserve">, the RBA Recommended </w:t>
      </w:r>
      <w:r>
        <w:rPr>
          <w:lang w:eastAsia="en-AU"/>
        </w:rPr>
        <w:t xml:space="preserve">Fallback </w:t>
      </w:r>
      <w:r w:rsidRPr="007D4398">
        <w:rPr>
          <w:lang w:eastAsia="en-AU"/>
        </w:rPr>
        <w:t>Rate;</w:t>
      </w:r>
      <w:r>
        <w:rPr>
          <w:lang w:eastAsia="en-AU"/>
        </w:rPr>
        <w:t xml:space="preserve"> and</w:t>
      </w:r>
    </w:p>
    <w:p w14:paraId="4E1E7F77" w14:textId="77777777" w:rsidR="006414D2" w:rsidRDefault="006414D2" w:rsidP="006414D2">
      <w:pPr>
        <w:pStyle w:val="Heading1"/>
        <w:numPr>
          <w:ilvl w:val="0"/>
          <w:numId w:val="0"/>
        </w:numPr>
        <w:ind w:left="1474" w:hanging="737"/>
        <w:rPr>
          <w:lang w:eastAsia="en-AU"/>
        </w:rPr>
      </w:pPr>
      <w:r w:rsidRPr="00EA68CE">
        <w:rPr>
          <w:lang w:eastAsia="en-AU"/>
        </w:rPr>
        <w:t>(</w:t>
      </w:r>
      <w:r>
        <w:rPr>
          <w:lang w:eastAsia="en-AU"/>
        </w:rPr>
        <w:t>iii</w:t>
      </w:r>
      <w:r w:rsidRPr="00EA68CE">
        <w:rPr>
          <w:lang w:eastAsia="en-AU"/>
        </w:rPr>
        <w:t>)</w:t>
      </w:r>
      <w:r w:rsidRPr="00EA68CE">
        <w:rPr>
          <w:lang w:eastAsia="en-AU"/>
        </w:rPr>
        <w:tab/>
      </w:r>
      <w:r>
        <w:rPr>
          <w:lang w:eastAsia="en-AU"/>
        </w:rPr>
        <w:t>if neither paragraph (i) nor paragraph (ii) above apply</w:t>
      </w:r>
      <w:r w:rsidRPr="000E434B">
        <w:rPr>
          <w:lang w:eastAsia="en-AU"/>
        </w:rPr>
        <w:t xml:space="preserve">, </w:t>
      </w:r>
      <w:r>
        <w:rPr>
          <w:lang w:eastAsia="en-AU"/>
        </w:rPr>
        <w:t>the Final Fallback Rate;</w:t>
      </w:r>
    </w:p>
    <w:p w14:paraId="030CD033" w14:textId="77777777" w:rsidR="006414D2" w:rsidRDefault="006414D2" w:rsidP="006414D2">
      <w:pPr>
        <w:pStyle w:val="Heading1"/>
        <w:numPr>
          <w:ilvl w:val="0"/>
          <w:numId w:val="0"/>
        </w:numPr>
        <w:ind w:left="737" w:hanging="737"/>
        <w:rPr>
          <w:lang w:eastAsia="en-AU"/>
        </w:rPr>
      </w:pPr>
      <w:r>
        <w:rPr>
          <w:lang w:eastAsia="en-AU"/>
        </w:rPr>
        <w:t>(b)</w:t>
      </w:r>
      <w:r>
        <w:rPr>
          <w:lang w:eastAsia="en-AU"/>
        </w:rPr>
        <w:tab/>
        <w:t xml:space="preserve">AONIA, that the rate for any day for which AONIA is required on or after the AONIA </w:t>
      </w:r>
      <w:r w:rsidRPr="009144E5">
        <w:rPr>
          <w:lang w:eastAsia="en-AU"/>
        </w:rPr>
        <w:t xml:space="preserve">Permanent Fallback </w:t>
      </w:r>
      <w:r>
        <w:rPr>
          <w:lang w:eastAsia="en-AU"/>
        </w:rPr>
        <w:t>Effective Date will be:</w:t>
      </w:r>
    </w:p>
    <w:p w14:paraId="1D9BF172" w14:textId="77777777" w:rsidR="006414D2" w:rsidRDefault="006414D2" w:rsidP="006414D2">
      <w:pPr>
        <w:pStyle w:val="Heading1"/>
        <w:numPr>
          <w:ilvl w:val="0"/>
          <w:numId w:val="0"/>
        </w:numPr>
        <w:ind w:left="1474" w:hanging="737"/>
        <w:rPr>
          <w:lang w:eastAsia="en-AU"/>
        </w:rPr>
      </w:pPr>
      <w:r>
        <w:rPr>
          <w:lang w:eastAsia="en-AU"/>
        </w:rPr>
        <w:t>(i)</w:t>
      </w:r>
      <w:r>
        <w:rPr>
          <w:lang w:eastAsia="en-AU"/>
        </w:rPr>
        <w:tab/>
        <w:t xml:space="preserve">if at the time the AONIA </w:t>
      </w:r>
      <w:r w:rsidRPr="009144E5">
        <w:rPr>
          <w:lang w:eastAsia="en-AU"/>
        </w:rPr>
        <w:t xml:space="preserve">Permanent Fallback </w:t>
      </w:r>
      <w:r>
        <w:rPr>
          <w:lang w:eastAsia="en-AU"/>
        </w:rPr>
        <w:t xml:space="preserve">Effective Date occurs, an RBA Recommended Rate has been created but no RBA Recommended Rate </w:t>
      </w:r>
      <w:r w:rsidRPr="009144E5">
        <w:rPr>
          <w:lang w:eastAsia="en-AU"/>
        </w:rPr>
        <w:t xml:space="preserve">Permanent Fallback </w:t>
      </w:r>
      <w:r>
        <w:rPr>
          <w:lang w:eastAsia="en-AU"/>
        </w:rPr>
        <w:t>Effective Date has occurred, the RBA Recommended Fallback Rate; and</w:t>
      </w:r>
    </w:p>
    <w:p w14:paraId="028A6FBF" w14:textId="77777777" w:rsidR="006414D2" w:rsidRDefault="006414D2" w:rsidP="006414D2">
      <w:pPr>
        <w:pStyle w:val="Heading1"/>
        <w:numPr>
          <w:ilvl w:val="0"/>
          <w:numId w:val="0"/>
        </w:numPr>
        <w:ind w:left="1474" w:hanging="737"/>
        <w:rPr>
          <w:lang w:eastAsia="en-AU"/>
        </w:rPr>
      </w:pPr>
      <w:r w:rsidRPr="00EA68CE">
        <w:rPr>
          <w:lang w:eastAsia="en-AU"/>
        </w:rPr>
        <w:t>(</w:t>
      </w:r>
      <w:r>
        <w:rPr>
          <w:lang w:eastAsia="en-AU"/>
        </w:rPr>
        <w:t>ii</w:t>
      </w:r>
      <w:r w:rsidRPr="00EA68CE">
        <w:rPr>
          <w:lang w:eastAsia="en-AU"/>
        </w:rPr>
        <w:t>)</w:t>
      </w:r>
      <w:r w:rsidRPr="00EA68CE">
        <w:rPr>
          <w:lang w:eastAsia="en-AU"/>
        </w:rPr>
        <w:tab/>
      </w:r>
      <w:r>
        <w:rPr>
          <w:lang w:eastAsia="en-AU"/>
        </w:rPr>
        <w:t>if paragraph (i) above does not apply</w:t>
      </w:r>
      <w:r w:rsidRPr="000E434B">
        <w:rPr>
          <w:lang w:eastAsia="en-AU"/>
        </w:rPr>
        <w:t xml:space="preserve">, the </w:t>
      </w:r>
      <w:r>
        <w:rPr>
          <w:lang w:eastAsia="en-AU"/>
        </w:rPr>
        <w:t>Final Fallback Rate; and</w:t>
      </w:r>
    </w:p>
    <w:p w14:paraId="13EDA7E3" w14:textId="77777777" w:rsidR="006414D2" w:rsidRDefault="006414D2" w:rsidP="006414D2">
      <w:pPr>
        <w:pStyle w:val="Heading1"/>
        <w:numPr>
          <w:ilvl w:val="0"/>
          <w:numId w:val="0"/>
        </w:numPr>
        <w:ind w:left="737" w:hanging="737"/>
        <w:rPr>
          <w:lang w:eastAsia="en-AU"/>
        </w:rPr>
      </w:pPr>
      <w:r>
        <w:rPr>
          <w:lang w:eastAsia="en-AU"/>
        </w:rPr>
        <w:t>(c)</w:t>
      </w:r>
      <w:r>
        <w:rPr>
          <w:lang w:eastAsia="en-AU"/>
        </w:rPr>
        <w:tab/>
        <w:t xml:space="preserve">the RBA Recommended Rate, that the rate for any day for which the RBA Recommended Rate is required on or after the RBA Recommended Rate </w:t>
      </w:r>
      <w:r w:rsidRPr="009144E5">
        <w:rPr>
          <w:lang w:eastAsia="en-AU"/>
        </w:rPr>
        <w:t xml:space="preserve">Permanent Fallback </w:t>
      </w:r>
      <w:r>
        <w:rPr>
          <w:lang w:eastAsia="en-AU"/>
        </w:rPr>
        <w:t>Effective Date will be the Final Fallback Rate.</w:t>
      </w:r>
    </w:p>
    <w:p w14:paraId="1F4E7D78" w14:textId="77777777" w:rsidR="006414D2" w:rsidRDefault="006414D2" w:rsidP="006414D2">
      <w:pPr>
        <w:pStyle w:val="Heading1"/>
        <w:keepNext/>
        <w:numPr>
          <w:ilvl w:val="0"/>
          <w:numId w:val="0"/>
        </w:numPr>
        <w:rPr>
          <w:lang w:eastAsia="en-AU"/>
        </w:rPr>
      </w:pPr>
      <w:r>
        <w:rPr>
          <w:lang w:eastAsia="en-AU"/>
        </w:rPr>
        <w:t>“</w:t>
      </w:r>
      <w:r w:rsidRPr="004731C2">
        <w:rPr>
          <w:b/>
          <w:bCs/>
          <w:lang w:eastAsia="en-AU"/>
        </w:rPr>
        <w:t>Permanent Discontinuation Trigger</w:t>
      </w:r>
      <w:r>
        <w:rPr>
          <w:lang w:eastAsia="en-AU"/>
        </w:rPr>
        <w:t>” means, in respect of an Applicable Benchmark Rate:</w:t>
      </w:r>
    </w:p>
    <w:p w14:paraId="21303272" w14:textId="77777777" w:rsidR="006414D2" w:rsidRDefault="006414D2" w:rsidP="006414D2">
      <w:pPr>
        <w:pStyle w:val="Heading1"/>
        <w:numPr>
          <w:ilvl w:val="0"/>
          <w:numId w:val="0"/>
        </w:numPr>
        <w:ind w:left="735" w:hanging="735"/>
        <w:rPr>
          <w:lang w:eastAsia="en-AU"/>
        </w:rPr>
      </w:pPr>
      <w:r>
        <w:rPr>
          <w:lang w:eastAsia="en-AU"/>
        </w:rPr>
        <w:t>(a)</w:t>
      </w:r>
      <w:r>
        <w:rPr>
          <w:lang w:eastAsia="en-AU"/>
        </w:rPr>
        <w:tab/>
      </w:r>
      <w:r w:rsidRPr="00B91686">
        <w:rPr>
          <w:lang w:eastAsia="en-AU"/>
        </w:rPr>
        <w:t xml:space="preserve">a public statement or publication of information by or on behalf of the Administrator of the Applicable Benchmark </w:t>
      </w:r>
      <w:r>
        <w:rPr>
          <w:lang w:eastAsia="en-AU"/>
        </w:rPr>
        <w:t xml:space="preserve">Rate </w:t>
      </w:r>
      <w:r w:rsidRPr="00B91686">
        <w:rPr>
          <w:lang w:eastAsia="en-AU"/>
        </w:rPr>
        <w:t xml:space="preserve">announcing that it has ceased or will cease to provide the Applicable Benchmark </w:t>
      </w:r>
      <w:r>
        <w:rPr>
          <w:lang w:eastAsia="en-AU"/>
        </w:rPr>
        <w:t xml:space="preserve">Rate </w:t>
      </w:r>
      <w:r w:rsidRPr="00B91686">
        <w:rPr>
          <w:lang w:eastAsia="en-AU"/>
        </w:rPr>
        <w:t>permanently or indefinitely, provided that, at the time of the statement or publication, there is no successor administrator or provider, as applicable, that will continue to provide the Applicable Benchmark</w:t>
      </w:r>
      <w:r>
        <w:rPr>
          <w:lang w:eastAsia="en-AU"/>
        </w:rPr>
        <w:t xml:space="preserve"> Rate and, in the case of the BBSW Rate, a </w:t>
      </w:r>
      <w:r w:rsidRPr="0090453E">
        <w:rPr>
          <w:lang w:eastAsia="en-AU"/>
        </w:rPr>
        <w:t xml:space="preserve">public statement or publication of information by or on behalf of the </w:t>
      </w:r>
      <w:r>
        <w:rPr>
          <w:lang w:eastAsia="en-AU"/>
        </w:rPr>
        <w:t>Supervisor</w:t>
      </w:r>
      <w:r w:rsidRPr="0090453E">
        <w:rPr>
          <w:lang w:eastAsia="en-AU"/>
        </w:rPr>
        <w:t xml:space="preserve"> of the </w:t>
      </w:r>
      <w:r>
        <w:rPr>
          <w:lang w:eastAsia="en-AU"/>
        </w:rPr>
        <w:t>BBSW</w:t>
      </w:r>
      <w:r w:rsidRPr="0090453E">
        <w:rPr>
          <w:lang w:eastAsia="en-AU"/>
        </w:rPr>
        <w:t xml:space="preserve"> Rate </w:t>
      </w:r>
      <w:r>
        <w:rPr>
          <w:lang w:eastAsia="en-AU"/>
        </w:rPr>
        <w:t>has confirmed that cessation;</w:t>
      </w:r>
    </w:p>
    <w:p w14:paraId="510C0EB0" w14:textId="77777777" w:rsidR="006414D2" w:rsidRDefault="006414D2" w:rsidP="006414D2">
      <w:pPr>
        <w:pStyle w:val="Heading1"/>
        <w:numPr>
          <w:ilvl w:val="0"/>
          <w:numId w:val="0"/>
        </w:numPr>
        <w:ind w:left="735" w:hanging="735"/>
        <w:rPr>
          <w:lang w:eastAsia="en-AU"/>
        </w:rPr>
      </w:pPr>
      <w:r>
        <w:rPr>
          <w:lang w:eastAsia="en-AU"/>
        </w:rPr>
        <w:t>(b)</w:t>
      </w:r>
      <w:r>
        <w:rPr>
          <w:lang w:eastAsia="en-AU"/>
        </w:rPr>
        <w:tab/>
      </w:r>
      <w:r w:rsidRPr="005C3D57">
        <w:rPr>
          <w:lang w:eastAsia="en-AU"/>
        </w:rPr>
        <w:t xml:space="preserve">a public statement or publication of information by the </w:t>
      </w:r>
      <w:r>
        <w:rPr>
          <w:lang w:eastAsia="en-AU"/>
        </w:rPr>
        <w:t>Supervisor</w:t>
      </w:r>
      <w:r w:rsidRPr="005C3D57">
        <w:rPr>
          <w:lang w:eastAsia="en-AU"/>
        </w:rPr>
        <w:t xml:space="preserve"> of the Applicable Benchmark</w:t>
      </w:r>
      <w:r>
        <w:rPr>
          <w:lang w:eastAsia="en-AU"/>
        </w:rPr>
        <w:t xml:space="preserve"> Rate</w:t>
      </w:r>
      <w:r w:rsidRPr="005C3D57">
        <w:rPr>
          <w:lang w:eastAsia="en-AU"/>
        </w:rPr>
        <w:t xml:space="preserve">, the </w:t>
      </w:r>
      <w:r>
        <w:rPr>
          <w:lang w:eastAsia="en-AU"/>
        </w:rPr>
        <w:t xml:space="preserve">Reserve Bank of </w:t>
      </w:r>
      <w:r w:rsidRPr="007F2D4C">
        <w:rPr>
          <w:lang w:eastAsia="en-AU"/>
        </w:rPr>
        <w:t>Australia (or any successor central bank for Australian dollars</w:t>
      </w:r>
      <w:r>
        <w:rPr>
          <w:lang w:eastAsia="en-AU"/>
        </w:rPr>
        <w:t>)</w:t>
      </w:r>
      <w:r w:rsidRPr="005C3D57">
        <w:rPr>
          <w:lang w:eastAsia="en-AU"/>
        </w:rPr>
        <w:t>, an insolvency official with jurisdiction over the Administrator for the Applicable Benchmark</w:t>
      </w:r>
      <w:r>
        <w:rPr>
          <w:lang w:eastAsia="en-AU"/>
        </w:rPr>
        <w:t xml:space="preserve"> Rate</w:t>
      </w:r>
      <w:r w:rsidRPr="005C3D57">
        <w:rPr>
          <w:lang w:eastAsia="en-AU"/>
        </w:rPr>
        <w:t xml:space="preserve">, a resolution authority with jurisdiction over the Administrator for the Applicable Benchmark </w:t>
      </w:r>
      <w:r>
        <w:rPr>
          <w:lang w:eastAsia="en-AU"/>
        </w:rPr>
        <w:t xml:space="preserve">Rate </w:t>
      </w:r>
      <w:r w:rsidRPr="005C3D57">
        <w:rPr>
          <w:lang w:eastAsia="en-AU"/>
        </w:rPr>
        <w:t>or a court or an entity with similar insolvency or resolution authority over the Administrator for the Applicable Benchmark</w:t>
      </w:r>
      <w:r>
        <w:rPr>
          <w:lang w:eastAsia="en-AU"/>
        </w:rPr>
        <w:t xml:space="preserve"> Rate</w:t>
      </w:r>
      <w:r w:rsidRPr="005C3D57">
        <w:rPr>
          <w:lang w:eastAsia="en-AU"/>
        </w:rPr>
        <w:t>, which states that the Administrator of the Applicable Benchmark</w:t>
      </w:r>
      <w:r>
        <w:rPr>
          <w:lang w:eastAsia="en-AU"/>
        </w:rPr>
        <w:t xml:space="preserve"> Rate</w:t>
      </w:r>
      <w:r w:rsidRPr="005C3D57">
        <w:rPr>
          <w:lang w:eastAsia="en-AU"/>
        </w:rPr>
        <w:t xml:space="preserve"> has ceased or will cease to provide the Applicable Benchmark </w:t>
      </w:r>
      <w:r>
        <w:rPr>
          <w:lang w:eastAsia="en-AU"/>
        </w:rPr>
        <w:t xml:space="preserve">Rate </w:t>
      </w:r>
      <w:r w:rsidRPr="005C3D57">
        <w:rPr>
          <w:lang w:eastAsia="en-AU"/>
        </w:rPr>
        <w:t xml:space="preserve">permanently or indefinitely, provided that, at the time of the statement or publication, there is no successor administrator or provider that will continue to provide the Applicable Benchmark </w:t>
      </w:r>
      <w:r>
        <w:rPr>
          <w:lang w:eastAsia="en-AU"/>
        </w:rPr>
        <w:t xml:space="preserve">Rate and, in the case of the BBSW Rate and a </w:t>
      </w:r>
      <w:r w:rsidRPr="005C3D57">
        <w:rPr>
          <w:lang w:eastAsia="en-AU"/>
        </w:rPr>
        <w:t xml:space="preserve">public statement or publication of information </w:t>
      </w:r>
      <w:r>
        <w:rPr>
          <w:lang w:eastAsia="en-AU"/>
        </w:rPr>
        <w:t xml:space="preserve">other than </w:t>
      </w:r>
      <w:r w:rsidRPr="005C3D57">
        <w:rPr>
          <w:lang w:eastAsia="en-AU"/>
        </w:rPr>
        <w:t xml:space="preserve">by the </w:t>
      </w:r>
      <w:r>
        <w:rPr>
          <w:lang w:eastAsia="en-AU"/>
        </w:rPr>
        <w:t xml:space="preserve">Supervisor, a </w:t>
      </w:r>
      <w:r w:rsidRPr="0090453E">
        <w:rPr>
          <w:lang w:eastAsia="en-AU"/>
        </w:rPr>
        <w:t xml:space="preserve">public statement or publication of information by or on behalf of the </w:t>
      </w:r>
      <w:r>
        <w:rPr>
          <w:lang w:eastAsia="en-AU"/>
        </w:rPr>
        <w:t>Supervisor</w:t>
      </w:r>
      <w:r w:rsidRPr="0090453E">
        <w:rPr>
          <w:lang w:eastAsia="en-AU"/>
        </w:rPr>
        <w:t xml:space="preserve"> of the </w:t>
      </w:r>
      <w:r>
        <w:rPr>
          <w:lang w:eastAsia="en-AU"/>
        </w:rPr>
        <w:t>BBSW</w:t>
      </w:r>
      <w:r w:rsidRPr="0090453E">
        <w:rPr>
          <w:lang w:eastAsia="en-AU"/>
        </w:rPr>
        <w:t xml:space="preserve"> Rate </w:t>
      </w:r>
      <w:r>
        <w:rPr>
          <w:lang w:eastAsia="en-AU"/>
        </w:rPr>
        <w:t>has confirmed that cessation</w:t>
      </w:r>
      <w:r w:rsidRPr="005C3D57">
        <w:rPr>
          <w:lang w:eastAsia="en-AU"/>
        </w:rPr>
        <w:t>;</w:t>
      </w:r>
    </w:p>
    <w:p w14:paraId="569C5685" w14:textId="77777777" w:rsidR="006414D2" w:rsidRDefault="006414D2" w:rsidP="006414D2">
      <w:pPr>
        <w:pStyle w:val="Heading1"/>
        <w:numPr>
          <w:ilvl w:val="0"/>
          <w:numId w:val="0"/>
        </w:numPr>
        <w:ind w:left="735" w:hanging="735"/>
        <w:rPr>
          <w:lang w:eastAsia="en-AU"/>
        </w:rPr>
      </w:pPr>
      <w:r w:rsidRPr="00915CA6">
        <w:rPr>
          <w:lang w:eastAsia="en-AU"/>
        </w:rPr>
        <w:lastRenderedPageBreak/>
        <w:t>(</w:t>
      </w:r>
      <w:r>
        <w:rPr>
          <w:lang w:eastAsia="en-AU"/>
        </w:rPr>
        <w:t>c</w:t>
      </w:r>
      <w:r w:rsidRPr="00915CA6">
        <w:rPr>
          <w:lang w:eastAsia="en-AU"/>
        </w:rPr>
        <w:t>)</w:t>
      </w:r>
      <w:r w:rsidRPr="00915CA6">
        <w:rPr>
          <w:lang w:eastAsia="en-AU"/>
        </w:rPr>
        <w:tab/>
        <w:t xml:space="preserve">a public statement by the </w:t>
      </w:r>
      <w:r>
        <w:rPr>
          <w:lang w:eastAsia="en-AU"/>
        </w:rPr>
        <w:t>S</w:t>
      </w:r>
      <w:r w:rsidRPr="00915CA6">
        <w:rPr>
          <w:lang w:eastAsia="en-AU"/>
        </w:rPr>
        <w:t xml:space="preserve">upervisor of </w:t>
      </w:r>
      <w:r>
        <w:rPr>
          <w:lang w:eastAsia="en-AU"/>
        </w:rPr>
        <w:t>the</w:t>
      </w:r>
      <w:r w:rsidRPr="00915CA6">
        <w:rPr>
          <w:lang w:eastAsia="en-AU"/>
        </w:rPr>
        <w:t xml:space="preserve"> Applicable </w:t>
      </w:r>
      <w:r>
        <w:rPr>
          <w:lang w:eastAsia="en-AU"/>
        </w:rPr>
        <w:t xml:space="preserve">Benchmark </w:t>
      </w:r>
      <w:r w:rsidRPr="00915CA6">
        <w:rPr>
          <w:lang w:eastAsia="en-AU"/>
        </w:rPr>
        <w:t xml:space="preserve">Rate </w:t>
      </w:r>
      <w:r>
        <w:rPr>
          <w:lang w:eastAsia="en-AU"/>
        </w:rPr>
        <w:t xml:space="preserve">if the </w:t>
      </w:r>
      <w:r w:rsidRPr="00915CA6">
        <w:rPr>
          <w:lang w:eastAsia="en-AU"/>
        </w:rPr>
        <w:t xml:space="preserve">Applicable </w:t>
      </w:r>
      <w:r>
        <w:rPr>
          <w:lang w:eastAsia="en-AU"/>
        </w:rPr>
        <w:t xml:space="preserve">Benchmark </w:t>
      </w:r>
      <w:r w:rsidRPr="00915CA6">
        <w:rPr>
          <w:lang w:eastAsia="en-AU"/>
        </w:rPr>
        <w:t>Rate</w:t>
      </w:r>
      <w:r>
        <w:rPr>
          <w:lang w:eastAsia="en-AU"/>
        </w:rPr>
        <w:t xml:space="preserve"> is the BBSW Rate, or the Administrator of the Applicable Benchmark Rate if the Applicable Benchmark Rate is AONIA or the RBA Recommended Rate, </w:t>
      </w:r>
      <w:proofErr w:type="gramStart"/>
      <w:r w:rsidRPr="00915CA6">
        <w:rPr>
          <w:lang w:eastAsia="en-AU"/>
        </w:rPr>
        <w:t>as a consequence of</w:t>
      </w:r>
      <w:proofErr w:type="gramEnd"/>
      <w:r w:rsidRPr="00915CA6">
        <w:rPr>
          <w:lang w:eastAsia="en-AU"/>
        </w:rPr>
        <w:t xml:space="preserve"> which the Applicable </w:t>
      </w:r>
      <w:r>
        <w:rPr>
          <w:lang w:eastAsia="en-AU"/>
        </w:rPr>
        <w:t xml:space="preserve">Benchmark </w:t>
      </w:r>
      <w:r w:rsidRPr="00915CA6">
        <w:rPr>
          <w:lang w:eastAsia="en-AU"/>
        </w:rPr>
        <w:t xml:space="preserve">Rate will be prohibited from being used either generally, or in respect of the </w:t>
      </w:r>
      <w:r>
        <w:rPr>
          <w:lang w:eastAsia="en-AU"/>
        </w:rPr>
        <w:t>[</w:t>
      </w:r>
      <w:r w:rsidRPr="00915CA6">
        <w:rPr>
          <w:lang w:eastAsia="en-AU"/>
        </w:rPr>
        <w:t>Notes</w:t>
      </w:r>
      <w:r>
        <w:rPr>
          <w:lang w:eastAsia="en-AU"/>
        </w:rPr>
        <w:t xml:space="preserve">] </w:t>
      </w:r>
      <w:r w:rsidRPr="00367764">
        <w:rPr>
          <w:lang w:eastAsia="en-AU"/>
        </w:rPr>
        <w:t>or that its use will be subject to restrictions or adverse consequences</w:t>
      </w:r>
      <w:r w:rsidRPr="00915CA6">
        <w:rPr>
          <w:lang w:eastAsia="en-AU"/>
        </w:rPr>
        <w:t>;</w:t>
      </w:r>
    </w:p>
    <w:p w14:paraId="46B00B53" w14:textId="77777777" w:rsidR="006414D2" w:rsidRDefault="006414D2" w:rsidP="006414D2">
      <w:pPr>
        <w:pStyle w:val="Heading1"/>
        <w:numPr>
          <w:ilvl w:val="0"/>
          <w:numId w:val="0"/>
        </w:numPr>
        <w:ind w:left="735" w:hanging="735"/>
        <w:rPr>
          <w:lang w:eastAsia="en-AU"/>
        </w:rPr>
      </w:pPr>
      <w:r w:rsidRPr="00D50AD0">
        <w:rPr>
          <w:lang w:eastAsia="en-AU"/>
        </w:rPr>
        <w:t>(</w:t>
      </w:r>
      <w:r>
        <w:rPr>
          <w:lang w:eastAsia="en-AU"/>
        </w:rPr>
        <w:t>d</w:t>
      </w:r>
      <w:r w:rsidRPr="00D50AD0">
        <w:rPr>
          <w:lang w:eastAsia="en-AU"/>
        </w:rPr>
        <w:t>)</w:t>
      </w:r>
      <w:r w:rsidRPr="00D50AD0">
        <w:rPr>
          <w:lang w:eastAsia="en-AU"/>
        </w:rPr>
        <w:tab/>
        <w:t xml:space="preserve">it has become unlawful for </w:t>
      </w:r>
      <w:r>
        <w:rPr>
          <w:lang w:eastAsia="en-AU"/>
        </w:rPr>
        <w:t>the</w:t>
      </w:r>
      <w:r w:rsidRPr="00D50AD0">
        <w:rPr>
          <w:lang w:eastAsia="en-AU"/>
        </w:rPr>
        <w:t xml:space="preserve"> </w:t>
      </w:r>
      <w:r>
        <w:rPr>
          <w:lang w:eastAsia="en-AU"/>
        </w:rPr>
        <w:t>[</w:t>
      </w:r>
      <w:r w:rsidRPr="00D50AD0">
        <w:rPr>
          <w:lang w:eastAsia="en-AU"/>
        </w:rPr>
        <w:t>Calculation Agent</w:t>
      </w:r>
      <w:r>
        <w:rPr>
          <w:lang w:eastAsia="en-AU"/>
        </w:rPr>
        <w:t>] or any other</w:t>
      </w:r>
      <w:r w:rsidRPr="00D50AD0">
        <w:rPr>
          <w:lang w:eastAsia="en-AU"/>
        </w:rPr>
        <w:t xml:space="preserve"> party </w:t>
      </w:r>
      <w:r>
        <w:rPr>
          <w:lang w:eastAsia="en-AU"/>
        </w:rPr>
        <w:t xml:space="preserve">responsible for calculations of interest under the [Conditions] </w:t>
      </w:r>
      <w:r w:rsidRPr="00D50AD0">
        <w:rPr>
          <w:lang w:eastAsia="en-AU"/>
        </w:rPr>
        <w:t xml:space="preserve">to calculate any payments due to be made to any </w:t>
      </w:r>
      <w:r>
        <w:rPr>
          <w:lang w:eastAsia="en-AU"/>
        </w:rPr>
        <w:t>[</w:t>
      </w:r>
      <w:r w:rsidRPr="00D50AD0">
        <w:rPr>
          <w:lang w:eastAsia="en-AU"/>
        </w:rPr>
        <w:t>Note</w:t>
      </w:r>
      <w:r>
        <w:rPr>
          <w:lang w:eastAsia="en-AU"/>
        </w:rPr>
        <w:t>h</w:t>
      </w:r>
      <w:r w:rsidRPr="00D50AD0">
        <w:rPr>
          <w:lang w:eastAsia="en-AU"/>
        </w:rPr>
        <w:t>older</w:t>
      </w:r>
      <w:r>
        <w:rPr>
          <w:lang w:eastAsia="en-AU"/>
        </w:rPr>
        <w:t>]</w:t>
      </w:r>
      <w:r w:rsidRPr="00D50AD0">
        <w:rPr>
          <w:lang w:eastAsia="en-AU"/>
        </w:rPr>
        <w:t xml:space="preserve"> using the Applicable </w:t>
      </w:r>
      <w:r>
        <w:rPr>
          <w:lang w:eastAsia="en-AU"/>
        </w:rPr>
        <w:t xml:space="preserve">Benchmark </w:t>
      </w:r>
      <w:r w:rsidRPr="00D50AD0">
        <w:rPr>
          <w:lang w:eastAsia="en-AU"/>
        </w:rPr>
        <w:t>Rate</w:t>
      </w:r>
      <w:r>
        <w:rPr>
          <w:lang w:eastAsia="en-AU"/>
        </w:rPr>
        <w:t>;</w:t>
      </w:r>
    </w:p>
    <w:p w14:paraId="6AAF5547" w14:textId="77777777" w:rsidR="006414D2" w:rsidRDefault="006414D2" w:rsidP="006414D2">
      <w:pPr>
        <w:pStyle w:val="Heading1"/>
        <w:numPr>
          <w:ilvl w:val="0"/>
          <w:numId w:val="0"/>
        </w:numPr>
        <w:ind w:left="735" w:hanging="735"/>
        <w:rPr>
          <w:lang w:eastAsia="en-AU"/>
        </w:rPr>
      </w:pPr>
      <w:r>
        <w:rPr>
          <w:lang w:eastAsia="en-AU"/>
        </w:rPr>
        <w:t>(e)</w:t>
      </w:r>
      <w:r>
        <w:rPr>
          <w:lang w:eastAsia="en-AU"/>
        </w:rPr>
        <w:tab/>
        <w:t xml:space="preserve">a public statement or </w:t>
      </w:r>
      <w:r w:rsidRPr="00A8782D">
        <w:rPr>
          <w:lang w:eastAsia="en-AU"/>
        </w:rPr>
        <w:t xml:space="preserve">publication of information by the Supervisor of the Applicable Benchmark Rate </w:t>
      </w:r>
      <w:r>
        <w:rPr>
          <w:lang w:eastAsia="en-AU"/>
        </w:rPr>
        <w:t xml:space="preserve">if the </w:t>
      </w:r>
      <w:r w:rsidRPr="00915CA6">
        <w:rPr>
          <w:lang w:eastAsia="en-AU"/>
        </w:rPr>
        <w:t xml:space="preserve">Applicable </w:t>
      </w:r>
      <w:r>
        <w:rPr>
          <w:lang w:eastAsia="en-AU"/>
        </w:rPr>
        <w:t xml:space="preserve">Benchmark </w:t>
      </w:r>
      <w:r w:rsidRPr="00915CA6">
        <w:rPr>
          <w:lang w:eastAsia="en-AU"/>
        </w:rPr>
        <w:t>Rate</w:t>
      </w:r>
      <w:r>
        <w:rPr>
          <w:lang w:eastAsia="en-AU"/>
        </w:rPr>
        <w:t xml:space="preserve"> is the BBSW Rate, or the Administrator of the Applicable Benchmark Rate if the Applicable Benchmark Rate is AONIA or the RBA Recommended Rate, </w:t>
      </w:r>
      <w:r w:rsidRPr="00A8782D">
        <w:rPr>
          <w:lang w:eastAsia="en-AU"/>
        </w:rPr>
        <w:t xml:space="preserve">stating that the Applicable Benchmark Rate is </w:t>
      </w:r>
      <w:proofErr w:type="gramStart"/>
      <w:r w:rsidRPr="00A8782D">
        <w:rPr>
          <w:lang w:eastAsia="en-AU"/>
        </w:rPr>
        <w:t>Non-Representative</w:t>
      </w:r>
      <w:proofErr w:type="gramEnd"/>
      <w:r w:rsidRPr="00A8782D">
        <w:rPr>
          <w:lang w:eastAsia="en-AU"/>
        </w:rPr>
        <w:t>; or</w:t>
      </w:r>
    </w:p>
    <w:p w14:paraId="636774BC" w14:textId="77777777" w:rsidR="006414D2" w:rsidRDefault="006414D2" w:rsidP="006414D2">
      <w:pPr>
        <w:pStyle w:val="Heading1"/>
        <w:numPr>
          <w:ilvl w:val="0"/>
          <w:numId w:val="0"/>
        </w:numPr>
        <w:ind w:left="735" w:hanging="735"/>
        <w:rPr>
          <w:lang w:eastAsia="en-AU"/>
        </w:rPr>
      </w:pPr>
      <w:r>
        <w:t>(f)</w:t>
      </w:r>
      <w:r>
        <w:tab/>
        <w:t>t</w:t>
      </w:r>
      <w:r w:rsidRPr="005D2452">
        <w:t xml:space="preserve">he Applicable </w:t>
      </w:r>
      <w:r>
        <w:t xml:space="preserve">Benchmark </w:t>
      </w:r>
      <w:r w:rsidRPr="005D2452">
        <w:t xml:space="preserve">Rate </w:t>
      </w:r>
      <w:r>
        <w:t xml:space="preserve">has otherwise </w:t>
      </w:r>
      <w:r w:rsidRPr="005D2452">
        <w:t>cease</w:t>
      </w:r>
      <w:r>
        <w:t>d</w:t>
      </w:r>
      <w:r w:rsidRPr="005D2452">
        <w:t xml:space="preserve"> to exist</w:t>
      </w:r>
      <w:r>
        <w:t xml:space="preserve"> or be administered on a permanent or indefinite basis.</w:t>
      </w:r>
    </w:p>
    <w:p w14:paraId="12F63860" w14:textId="77777777" w:rsidR="006414D2" w:rsidRDefault="006414D2" w:rsidP="006414D2">
      <w:pPr>
        <w:pStyle w:val="Heading1"/>
        <w:numPr>
          <w:ilvl w:val="0"/>
          <w:numId w:val="0"/>
        </w:numPr>
        <w:rPr>
          <w:lang w:eastAsia="en-AU"/>
        </w:rPr>
      </w:pPr>
      <w:r>
        <w:rPr>
          <w:lang w:eastAsia="en-AU"/>
        </w:rPr>
        <w:t>“</w:t>
      </w:r>
      <w:r w:rsidRPr="00CA4D52">
        <w:rPr>
          <w:b/>
          <w:bCs/>
          <w:lang w:eastAsia="en-AU"/>
        </w:rPr>
        <w:t>Permanent Fallback Effective Date</w:t>
      </w:r>
      <w:r>
        <w:rPr>
          <w:lang w:eastAsia="en-AU"/>
        </w:rPr>
        <w:t xml:space="preserve">” means, in respect of a </w:t>
      </w:r>
      <w:r w:rsidRPr="00CA4D52">
        <w:rPr>
          <w:lang w:eastAsia="en-AU"/>
        </w:rPr>
        <w:t>Permanent Discontinuation Trigger</w:t>
      </w:r>
      <w:r>
        <w:rPr>
          <w:lang w:eastAsia="en-AU"/>
        </w:rPr>
        <w:t xml:space="preserve"> for an Applicable Benchmark Rate:</w:t>
      </w:r>
    </w:p>
    <w:p w14:paraId="0ADD79D1" w14:textId="77777777" w:rsidR="006414D2" w:rsidRDefault="006414D2" w:rsidP="006414D2">
      <w:pPr>
        <w:pStyle w:val="Heading1"/>
        <w:numPr>
          <w:ilvl w:val="0"/>
          <w:numId w:val="0"/>
        </w:numPr>
        <w:ind w:left="735" w:hanging="735"/>
        <w:rPr>
          <w:lang w:eastAsia="en-AU"/>
        </w:rPr>
      </w:pPr>
      <w:r>
        <w:rPr>
          <w:lang w:eastAsia="en-AU"/>
        </w:rPr>
        <w:t>(a)</w:t>
      </w:r>
      <w:r>
        <w:rPr>
          <w:lang w:eastAsia="en-AU"/>
        </w:rPr>
        <w:tab/>
        <w:t>in the case of paragraphs (a) and (b) of the definition of “</w:t>
      </w:r>
      <w:r w:rsidRPr="002016D7">
        <w:rPr>
          <w:lang w:eastAsia="en-AU"/>
        </w:rPr>
        <w:t>Permanent Discontinuation Trigger</w:t>
      </w:r>
      <w:r>
        <w:rPr>
          <w:lang w:eastAsia="en-AU"/>
        </w:rPr>
        <w:t>”,</w:t>
      </w:r>
      <w:r w:rsidRPr="002016D7">
        <w:rPr>
          <w:lang w:eastAsia="en-AU"/>
        </w:rPr>
        <w:t xml:space="preserve"> </w:t>
      </w:r>
      <w:r>
        <w:rPr>
          <w:lang w:eastAsia="en-AU"/>
        </w:rPr>
        <w:t>the first date on which the Applicable Benchmark Rate would ordinarily have been published or provided and is no longer published or provided;</w:t>
      </w:r>
    </w:p>
    <w:p w14:paraId="6D971094" w14:textId="77777777" w:rsidR="006414D2" w:rsidRDefault="006414D2" w:rsidP="006414D2">
      <w:pPr>
        <w:pStyle w:val="Heading1"/>
        <w:numPr>
          <w:ilvl w:val="0"/>
          <w:numId w:val="0"/>
        </w:numPr>
        <w:ind w:left="735" w:hanging="735"/>
        <w:rPr>
          <w:lang w:eastAsia="en-AU"/>
        </w:rPr>
      </w:pPr>
      <w:r>
        <w:rPr>
          <w:lang w:eastAsia="en-AU"/>
        </w:rPr>
        <w:t>(b)</w:t>
      </w:r>
      <w:r>
        <w:rPr>
          <w:lang w:eastAsia="en-AU"/>
        </w:rPr>
        <w:tab/>
        <w:t>in the case of paragraphs (c) and (d) of the definition of “</w:t>
      </w:r>
      <w:r w:rsidRPr="002016D7">
        <w:rPr>
          <w:lang w:eastAsia="en-AU"/>
        </w:rPr>
        <w:t>Permanent Discontinuation Trigger</w:t>
      </w:r>
      <w:r>
        <w:rPr>
          <w:lang w:eastAsia="en-AU"/>
        </w:rPr>
        <w:t>”,</w:t>
      </w:r>
      <w:r w:rsidRPr="002016D7">
        <w:rPr>
          <w:lang w:eastAsia="en-AU"/>
        </w:rPr>
        <w:t xml:space="preserve"> </w:t>
      </w:r>
      <w:r w:rsidRPr="00061CBA">
        <w:rPr>
          <w:lang w:eastAsia="en-AU"/>
        </w:rPr>
        <w:t xml:space="preserve">the date from which </w:t>
      </w:r>
      <w:r>
        <w:rPr>
          <w:lang w:eastAsia="en-AU"/>
        </w:rPr>
        <w:t xml:space="preserve">use of </w:t>
      </w:r>
      <w:r w:rsidRPr="00061CBA">
        <w:rPr>
          <w:lang w:eastAsia="en-AU"/>
        </w:rPr>
        <w:t xml:space="preserve">the Applicable Benchmark </w:t>
      </w:r>
      <w:r>
        <w:rPr>
          <w:lang w:eastAsia="en-AU"/>
        </w:rPr>
        <w:t xml:space="preserve">Rate is prohibited or becomes </w:t>
      </w:r>
      <w:r w:rsidRPr="009D6ED5">
        <w:rPr>
          <w:lang w:eastAsia="en-AU"/>
        </w:rPr>
        <w:t>subject to restrictions or adverse consequences</w:t>
      </w:r>
      <w:r w:rsidRPr="00061CBA">
        <w:rPr>
          <w:lang w:eastAsia="en-AU"/>
        </w:rPr>
        <w:t xml:space="preserve"> </w:t>
      </w:r>
      <w:r>
        <w:rPr>
          <w:lang w:eastAsia="en-AU"/>
        </w:rPr>
        <w:t>or the calculation becomes unlawful (as applicable);</w:t>
      </w:r>
    </w:p>
    <w:p w14:paraId="5763ECCF" w14:textId="77777777" w:rsidR="006414D2" w:rsidRDefault="006414D2" w:rsidP="006414D2">
      <w:pPr>
        <w:pStyle w:val="Heading1"/>
        <w:numPr>
          <w:ilvl w:val="0"/>
          <w:numId w:val="0"/>
        </w:numPr>
        <w:ind w:left="735" w:hanging="735"/>
        <w:rPr>
          <w:lang w:eastAsia="en-AU"/>
        </w:rPr>
      </w:pPr>
      <w:r>
        <w:rPr>
          <w:lang w:eastAsia="en-AU"/>
        </w:rPr>
        <w:t>(c)</w:t>
      </w:r>
      <w:r>
        <w:rPr>
          <w:lang w:eastAsia="en-AU"/>
        </w:rPr>
        <w:tab/>
        <w:t>in the case of paragraph (e) of the definition of “</w:t>
      </w:r>
      <w:r w:rsidRPr="002016D7">
        <w:rPr>
          <w:lang w:eastAsia="en-AU"/>
        </w:rPr>
        <w:t>Permanent Discontinuation Trigger</w:t>
      </w:r>
      <w:r>
        <w:rPr>
          <w:lang w:eastAsia="en-AU"/>
        </w:rPr>
        <w:t xml:space="preserve">”, the first date on which the Applicable Benchmark Rate would ordinarily have been published or provided and is </w:t>
      </w:r>
      <w:proofErr w:type="gramStart"/>
      <w:r>
        <w:rPr>
          <w:lang w:eastAsia="en-AU"/>
        </w:rPr>
        <w:t>Non-Representative</w:t>
      </w:r>
      <w:proofErr w:type="gramEnd"/>
      <w:r>
        <w:rPr>
          <w:lang w:eastAsia="en-AU"/>
        </w:rPr>
        <w:t xml:space="preserve"> by reference to the most recent statement or publication contemplated in that paragraph and even if such Applicable Benchmark Rates continues to be published or provided on such date; or</w:t>
      </w:r>
    </w:p>
    <w:p w14:paraId="2F80A288" w14:textId="77777777" w:rsidR="006414D2" w:rsidRDefault="006414D2" w:rsidP="006414D2">
      <w:pPr>
        <w:pStyle w:val="Heading1"/>
        <w:numPr>
          <w:ilvl w:val="0"/>
          <w:numId w:val="0"/>
        </w:numPr>
        <w:ind w:left="735" w:hanging="735"/>
        <w:rPr>
          <w:lang w:eastAsia="en-AU"/>
        </w:rPr>
      </w:pPr>
      <w:r>
        <w:rPr>
          <w:lang w:eastAsia="en-AU"/>
        </w:rPr>
        <w:t>(d)</w:t>
      </w:r>
      <w:r>
        <w:rPr>
          <w:lang w:eastAsia="en-AU"/>
        </w:rPr>
        <w:tab/>
        <w:t>in the case of paragraph (f) of the definition of “</w:t>
      </w:r>
      <w:r w:rsidRPr="002016D7">
        <w:rPr>
          <w:lang w:eastAsia="en-AU"/>
        </w:rPr>
        <w:t>Permanent Discontinuation Trigger</w:t>
      </w:r>
      <w:r>
        <w:rPr>
          <w:lang w:eastAsia="en-AU"/>
        </w:rPr>
        <w:t>”, the date that event occurs.</w:t>
      </w:r>
    </w:p>
    <w:p w14:paraId="74E8135F" w14:textId="77777777" w:rsidR="006414D2" w:rsidRDefault="006414D2" w:rsidP="006414D2">
      <w:pPr>
        <w:pStyle w:val="Heading1"/>
        <w:numPr>
          <w:ilvl w:val="0"/>
          <w:numId w:val="0"/>
        </w:numPr>
        <w:ind w:left="737" w:hanging="737"/>
        <w:rPr>
          <w:lang w:eastAsia="en-AU"/>
        </w:rPr>
      </w:pPr>
      <w:r w:rsidRPr="006C3B3D">
        <w:rPr>
          <w:lang w:eastAsia="en-AU"/>
        </w:rPr>
        <w:t>“</w:t>
      </w:r>
      <w:r w:rsidRPr="00FB2B23">
        <w:rPr>
          <w:b/>
          <w:bCs/>
          <w:lang w:eastAsia="en-AU"/>
        </w:rPr>
        <w:t>Publication Time</w:t>
      </w:r>
      <w:r w:rsidRPr="006C3B3D">
        <w:rPr>
          <w:lang w:eastAsia="en-AU"/>
        </w:rPr>
        <w:t>”</w:t>
      </w:r>
      <w:r>
        <w:rPr>
          <w:lang w:eastAsia="en-AU"/>
        </w:rPr>
        <w:t xml:space="preserve"> means:</w:t>
      </w:r>
    </w:p>
    <w:p w14:paraId="063C06CC" w14:textId="77777777" w:rsidR="006414D2" w:rsidRDefault="006414D2" w:rsidP="006414D2">
      <w:pPr>
        <w:pStyle w:val="Heading1"/>
        <w:numPr>
          <w:ilvl w:val="0"/>
          <w:numId w:val="0"/>
        </w:numPr>
        <w:ind w:left="735" w:hanging="735"/>
        <w:rPr>
          <w:lang w:eastAsia="en-AU"/>
        </w:rPr>
      </w:pPr>
      <w:r>
        <w:rPr>
          <w:lang w:eastAsia="en-AU"/>
        </w:rPr>
        <w:t>(a)</w:t>
      </w:r>
      <w:r>
        <w:rPr>
          <w:lang w:eastAsia="en-AU"/>
        </w:rPr>
        <w:tab/>
        <w:t>i</w:t>
      </w:r>
      <w:r w:rsidRPr="006805DD">
        <w:rPr>
          <w:lang w:eastAsia="en-AU"/>
        </w:rPr>
        <w:t>n respect of the BBSW Rate</w:t>
      </w:r>
      <w:r>
        <w:rPr>
          <w:lang w:eastAsia="en-AU"/>
        </w:rPr>
        <w:t xml:space="preserve">, </w:t>
      </w:r>
      <w:r w:rsidRPr="00F12A94">
        <w:rPr>
          <w:lang w:eastAsia="en-AU"/>
        </w:rPr>
        <w:t>12.</w:t>
      </w:r>
      <w:r w:rsidRPr="0002721E">
        <w:rPr>
          <w:lang w:eastAsia="en-AU"/>
        </w:rPr>
        <w:t>00pm (Sydney time) or any</w:t>
      </w:r>
      <w:r w:rsidRPr="007605C5">
        <w:rPr>
          <w:lang w:eastAsia="en-AU"/>
        </w:rPr>
        <w:t xml:space="preserve"> </w:t>
      </w:r>
      <w:r w:rsidRPr="00A53189">
        <w:rPr>
          <w:lang w:eastAsia="en-AU"/>
        </w:rPr>
        <w:t>amended publication time</w:t>
      </w:r>
      <w:r w:rsidRPr="007605C5">
        <w:rPr>
          <w:lang w:eastAsia="en-AU"/>
        </w:rPr>
        <w:t xml:space="preserve"> </w:t>
      </w:r>
      <w:r>
        <w:rPr>
          <w:lang w:eastAsia="en-AU"/>
        </w:rPr>
        <w:t>for the</w:t>
      </w:r>
      <w:r w:rsidRPr="00A53189">
        <w:rPr>
          <w:lang w:eastAsia="en-AU"/>
        </w:rPr>
        <w:t xml:space="preserve"> final intraday refix of such rate </w:t>
      </w:r>
      <w:r w:rsidRPr="007605C5">
        <w:rPr>
          <w:lang w:eastAsia="en-AU"/>
        </w:rPr>
        <w:t xml:space="preserve">specified by the Administrator for the </w:t>
      </w:r>
      <w:r>
        <w:rPr>
          <w:lang w:eastAsia="en-AU"/>
        </w:rPr>
        <w:t>BBSW Rate</w:t>
      </w:r>
      <w:r w:rsidRPr="007605C5">
        <w:rPr>
          <w:lang w:eastAsia="en-AU"/>
        </w:rPr>
        <w:t xml:space="preserve"> in its benchmark methodology</w:t>
      </w:r>
      <w:r>
        <w:rPr>
          <w:lang w:eastAsia="en-AU"/>
        </w:rPr>
        <w:t>; and</w:t>
      </w:r>
    </w:p>
    <w:p w14:paraId="47DD6726" w14:textId="77777777" w:rsidR="006414D2" w:rsidRDefault="006414D2" w:rsidP="006414D2">
      <w:pPr>
        <w:pStyle w:val="Heading1"/>
        <w:numPr>
          <w:ilvl w:val="0"/>
          <w:numId w:val="0"/>
        </w:numPr>
        <w:ind w:left="735" w:hanging="735"/>
        <w:rPr>
          <w:lang w:eastAsia="en-AU"/>
        </w:rPr>
      </w:pPr>
      <w:r>
        <w:rPr>
          <w:lang w:eastAsia="en-AU"/>
        </w:rPr>
        <w:t>(b)</w:t>
      </w:r>
      <w:r>
        <w:rPr>
          <w:lang w:eastAsia="en-AU"/>
        </w:rPr>
        <w:tab/>
        <w:t>in respect of AONIA, 4pm</w:t>
      </w:r>
      <w:r w:rsidRPr="00F12A94">
        <w:rPr>
          <w:lang w:eastAsia="en-AU"/>
        </w:rPr>
        <w:t xml:space="preserve"> </w:t>
      </w:r>
      <w:r>
        <w:rPr>
          <w:lang w:eastAsia="en-AU"/>
        </w:rPr>
        <w:t>(</w:t>
      </w:r>
      <w:r w:rsidRPr="00982C44">
        <w:rPr>
          <w:lang w:eastAsia="en-AU"/>
        </w:rPr>
        <w:t>Australian Eastern Standard Time</w:t>
      </w:r>
      <w:r>
        <w:rPr>
          <w:lang w:eastAsia="en-AU"/>
        </w:rPr>
        <w:t xml:space="preserve"> (AEST)/</w:t>
      </w:r>
      <w:r w:rsidRPr="00F029D4">
        <w:rPr>
          <w:lang w:eastAsia="en-AU"/>
        </w:rPr>
        <w:t>Australian Eastern Daylight Time</w:t>
      </w:r>
      <w:r w:rsidRPr="00F029D4" w:rsidDel="00982C44">
        <w:rPr>
          <w:lang w:eastAsia="en-AU"/>
        </w:rPr>
        <w:t xml:space="preserve"> </w:t>
      </w:r>
      <w:r>
        <w:rPr>
          <w:lang w:eastAsia="en-AU"/>
        </w:rPr>
        <w:t>(AEDT))</w:t>
      </w:r>
      <w:r w:rsidRPr="00F12A94">
        <w:rPr>
          <w:lang w:eastAsia="en-AU"/>
        </w:rPr>
        <w:t xml:space="preserve"> </w:t>
      </w:r>
      <w:r w:rsidRPr="007605C5">
        <w:rPr>
          <w:lang w:eastAsia="en-AU"/>
        </w:rPr>
        <w:t xml:space="preserve">or any </w:t>
      </w:r>
      <w:r w:rsidRPr="00A53189">
        <w:rPr>
          <w:lang w:eastAsia="en-AU"/>
        </w:rPr>
        <w:t>amended publication time</w:t>
      </w:r>
      <w:r w:rsidRPr="007605C5">
        <w:rPr>
          <w:lang w:eastAsia="en-AU"/>
        </w:rPr>
        <w:t xml:space="preserve"> </w:t>
      </w:r>
      <w:r>
        <w:rPr>
          <w:lang w:eastAsia="en-AU"/>
        </w:rPr>
        <w:t xml:space="preserve">for the </w:t>
      </w:r>
      <w:r w:rsidRPr="00A53189">
        <w:rPr>
          <w:lang w:eastAsia="en-AU"/>
        </w:rPr>
        <w:t xml:space="preserve">final intraday refix of such rate </w:t>
      </w:r>
      <w:r w:rsidRPr="007605C5">
        <w:rPr>
          <w:lang w:eastAsia="en-AU"/>
        </w:rPr>
        <w:t xml:space="preserve">specified by the Administrator for </w:t>
      </w:r>
      <w:r>
        <w:rPr>
          <w:lang w:eastAsia="en-AU"/>
        </w:rPr>
        <w:t>AONIA</w:t>
      </w:r>
      <w:r w:rsidRPr="007605C5">
        <w:rPr>
          <w:lang w:eastAsia="en-AU"/>
        </w:rPr>
        <w:t xml:space="preserve"> in its benchmark methodology</w:t>
      </w:r>
      <w:r>
        <w:rPr>
          <w:lang w:eastAsia="en-AU"/>
        </w:rPr>
        <w:t>.</w:t>
      </w:r>
    </w:p>
    <w:p w14:paraId="13CAE8A3" w14:textId="77777777" w:rsidR="006414D2" w:rsidRDefault="006414D2" w:rsidP="006414D2">
      <w:pPr>
        <w:pStyle w:val="Heading1"/>
        <w:numPr>
          <w:ilvl w:val="0"/>
          <w:numId w:val="0"/>
        </w:numPr>
        <w:rPr>
          <w:lang w:eastAsia="en-AU"/>
        </w:rPr>
      </w:pPr>
      <w:r>
        <w:rPr>
          <w:lang w:eastAsia="en-AU"/>
        </w:rPr>
        <w:t>“</w:t>
      </w:r>
      <w:r w:rsidRPr="00D055E1">
        <w:rPr>
          <w:b/>
          <w:bCs/>
          <w:lang w:eastAsia="en-AU"/>
        </w:rPr>
        <w:t>RBA Recommended Fallback Rate</w:t>
      </w:r>
      <w:r>
        <w:rPr>
          <w:lang w:eastAsia="en-AU"/>
        </w:rPr>
        <w:t>” has the same meaning given to AONIA Fallback Rate but with necessary adjustments to substitute all references to AONIA with corresponding references to the RBA Recommended Rate.</w:t>
      </w:r>
    </w:p>
    <w:p w14:paraId="6A4B61CC" w14:textId="77777777" w:rsidR="006414D2" w:rsidRDefault="006414D2" w:rsidP="006414D2">
      <w:pPr>
        <w:pStyle w:val="Heading1"/>
        <w:numPr>
          <w:ilvl w:val="0"/>
          <w:numId w:val="0"/>
        </w:numPr>
        <w:rPr>
          <w:lang w:eastAsia="en-AU"/>
        </w:rPr>
      </w:pPr>
      <w:r w:rsidRPr="005A50B5">
        <w:rPr>
          <w:lang w:eastAsia="en-AU"/>
        </w:rPr>
        <w:t>“</w:t>
      </w:r>
      <w:r w:rsidRPr="005A50B5">
        <w:rPr>
          <w:b/>
          <w:bCs/>
          <w:lang w:eastAsia="en-AU"/>
        </w:rPr>
        <w:t>RBA Recommended Rate</w:t>
      </w:r>
      <w:r w:rsidRPr="005A50B5">
        <w:rPr>
          <w:lang w:eastAsia="en-AU"/>
        </w:rPr>
        <w:t xml:space="preserve">” means, in respect of any relevant day (including any day “i”), the rate (inclusive of any spreads or adjustments) recommended as the replacement for AONIA by the </w:t>
      </w:r>
      <w:r w:rsidRPr="005A50B5">
        <w:rPr>
          <w:lang w:eastAsia="en-AU"/>
        </w:rPr>
        <w:lastRenderedPageBreak/>
        <w:t>Reserve Bank of Australia (which rate may be produced by the Reserve Bank of Australia or another administrator) and as provided by the Administrator of that rate or, if that rate is not provided by the Administrator thereof, published by an authorised distributor, in respect of that day.</w:t>
      </w:r>
    </w:p>
    <w:p w14:paraId="68F3ABDE" w14:textId="77777777" w:rsidR="006414D2" w:rsidRDefault="006414D2" w:rsidP="006414D2">
      <w:pPr>
        <w:pStyle w:val="Heading1"/>
        <w:numPr>
          <w:ilvl w:val="0"/>
          <w:numId w:val="0"/>
        </w:numPr>
        <w:rPr>
          <w:lang w:eastAsia="en-AU"/>
        </w:rPr>
      </w:pPr>
      <w:r>
        <w:rPr>
          <w:lang w:eastAsia="en-AU"/>
        </w:rPr>
        <w:t>“</w:t>
      </w:r>
      <w:r w:rsidRPr="001E2562">
        <w:rPr>
          <w:b/>
          <w:bCs/>
          <w:lang w:eastAsia="en-AU"/>
        </w:rPr>
        <w:t>Supervisor</w:t>
      </w:r>
      <w:r>
        <w:rPr>
          <w:lang w:eastAsia="en-AU"/>
        </w:rPr>
        <w:t>” means, in respect of an Applicable Benchmark Rate, the supervisor or competent authority that is responsible for supervising that Applicable Benchmark Rate or the Administrator of that Applicable Benchmark Rate, or any committee officially endorsed or convened by any such supervisor or competent authority that is responsible for supervising that Applicable Benchmark Rate or the Administrator of that Applicable Benchmark Rate.</w:t>
      </w:r>
    </w:p>
    <w:p w14:paraId="67155EE7" w14:textId="77777777" w:rsidR="006414D2" w:rsidRDefault="006414D2" w:rsidP="006414D2">
      <w:pPr>
        <w:pStyle w:val="Heading1"/>
        <w:numPr>
          <w:ilvl w:val="0"/>
          <w:numId w:val="0"/>
        </w:numPr>
        <w:rPr>
          <w:lang w:eastAsia="en-AU"/>
        </w:rPr>
      </w:pPr>
      <w:r w:rsidRPr="007E55C9">
        <w:rPr>
          <w:lang w:eastAsia="en-AU"/>
        </w:rPr>
        <w:t>“</w:t>
      </w:r>
      <w:r w:rsidRPr="007E55C9">
        <w:rPr>
          <w:b/>
          <w:bCs/>
          <w:lang w:eastAsia="en-AU"/>
        </w:rPr>
        <w:t>Supervisor Recommended Rate</w:t>
      </w:r>
      <w:r w:rsidRPr="007E55C9">
        <w:rPr>
          <w:lang w:eastAsia="en-AU"/>
        </w:rPr>
        <w:t xml:space="preserve">” means the rate formally recommended for use as the replacement for </w:t>
      </w:r>
      <w:r>
        <w:rPr>
          <w:lang w:eastAsia="en-AU"/>
        </w:rPr>
        <w:t>the BBSW</w:t>
      </w:r>
      <w:r w:rsidRPr="007E55C9">
        <w:rPr>
          <w:lang w:eastAsia="en-AU"/>
        </w:rPr>
        <w:t xml:space="preserve"> Rate by the Supervisor of </w:t>
      </w:r>
      <w:r>
        <w:rPr>
          <w:lang w:eastAsia="en-AU"/>
        </w:rPr>
        <w:t>the BBSW</w:t>
      </w:r>
      <w:r w:rsidRPr="007E55C9">
        <w:rPr>
          <w:lang w:eastAsia="en-AU"/>
        </w:rPr>
        <w:t xml:space="preserve"> Rate.</w:t>
      </w:r>
    </w:p>
    <w:p w14:paraId="39E6BC67" w14:textId="77777777" w:rsidR="006414D2" w:rsidRPr="00DE3D5A" w:rsidRDefault="006414D2" w:rsidP="006414D2">
      <w:pPr>
        <w:pStyle w:val="Heading1"/>
        <w:numPr>
          <w:ilvl w:val="0"/>
          <w:numId w:val="0"/>
        </w:numPr>
        <w:rPr>
          <w:lang w:eastAsia="en-AU"/>
        </w:rPr>
      </w:pPr>
      <w:r w:rsidRPr="00DE3D5A">
        <w:rPr>
          <w:lang w:eastAsia="en-AU"/>
        </w:rPr>
        <w:t>“</w:t>
      </w:r>
      <w:r w:rsidRPr="00DE3D5A">
        <w:rPr>
          <w:b/>
          <w:bCs/>
          <w:lang w:eastAsia="en-AU"/>
        </w:rPr>
        <w:t>Temporary Disruption Trigger</w:t>
      </w:r>
      <w:r w:rsidRPr="00DE3D5A">
        <w:rPr>
          <w:lang w:eastAsia="en-AU"/>
        </w:rPr>
        <w:t>” means, in respect of any Applicable Benchmark Rate which is required for any determination:</w:t>
      </w:r>
    </w:p>
    <w:p w14:paraId="63D69841" w14:textId="77777777" w:rsidR="006414D2" w:rsidRPr="00DE3D5A" w:rsidRDefault="006414D2" w:rsidP="006414D2">
      <w:pPr>
        <w:pStyle w:val="Heading1"/>
        <w:numPr>
          <w:ilvl w:val="0"/>
          <w:numId w:val="0"/>
        </w:numPr>
        <w:ind w:left="737" w:hanging="737"/>
        <w:rPr>
          <w:lang w:eastAsia="en-AU"/>
        </w:rPr>
      </w:pPr>
      <w:r w:rsidRPr="00DE3D5A">
        <w:rPr>
          <w:lang w:eastAsia="en-AU"/>
        </w:rPr>
        <w:t>(a)</w:t>
      </w:r>
      <w:r w:rsidRPr="00DE3D5A">
        <w:rPr>
          <w:lang w:eastAsia="en-AU"/>
        </w:rPr>
        <w:tab/>
        <w:t>the Applicable Benchmark Rate in respect of the day for which it is required has not been published by the Administrator or an authorised distributor and is not otherwise provided by the Administrator by the date on which that Applicable Benchmark Rate is required;</w:t>
      </w:r>
      <w:r w:rsidRPr="00DE3D5A">
        <w:rPr>
          <w:rStyle w:val="EndnoteReference"/>
          <w:lang w:eastAsia="en-AU"/>
        </w:rPr>
        <w:endnoteReference w:id="5"/>
      </w:r>
      <w:r w:rsidRPr="00DE3D5A">
        <w:rPr>
          <w:lang w:eastAsia="en-AU"/>
        </w:rPr>
        <w:t xml:space="preserve"> or</w:t>
      </w:r>
    </w:p>
    <w:p w14:paraId="3A9BD17A" w14:textId="77777777" w:rsidR="006414D2" w:rsidRDefault="006414D2" w:rsidP="006414D2">
      <w:pPr>
        <w:pStyle w:val="Heading1"/>
        <w:numPr>
          <w:ilvl w:val="0"/>
          <w:numId w:val="0"/>
        </w:numPr>
        <w:ind w:left="737" w:hanging="737"/>
        <w:rPr>
          <w:lang w:eastAsia="en-AU"/>
        </w:rPr>
      </w:pPr>
      <w:r w:rsidRPr="00DE3D5A">
        <w:rPr>
          <w:lang w:eastAsia="en-AU"/>
        </w:rPr>
        <w:t>(b)</w:t>
      </w:r>
      <w:r w:rsidRPr="00DE3D5A">
        <w:rPr>
          <w:lang w:eastAsia="en-AU"/>
        </w:rPr>
        <w:tab/>
        <w:t xml:space="preserve">the Applicable Benchmark Rate is published or provided but the [Calculation Agent] determines that there is an obvious </w:t>
      </w:r>
      <w:r>
        <w:rPr>
          <w:lang w:eastAsia="en-AU"/>
        </w:rPr>
        <w:t xml:space="preserve">or proven </w:t>
      </w:r>
      <w:r w:rsidRPr="00DE3D5A">
        <w:rPr>
          <w:lang w:eastAsia="en-AU"/>
        </w:rPr>
        <w:t>error in that rate</w:t>
      </w:r>
      <w:r>
        <w:rPr>
          <w:lang w:eastAsia="en-AU"/>
        </w:rPr>
        <w:t>.</w:t>
      </w:r>
    </w:p>
    <w:p w14:paraId="06C00353" w14:textId="77777777" w:rsidR="006414D2" w:rsidRDefault="006414D2" w:rsidP="006414D2">
      <w:pPr>
        <w:pStyle w:val="Heading1"/>
        <w:numPr>
          <w:ilvl w:val="0"/>
          <w:numId w:val="0"/>
        </w:numPr>
        <w:rPr>
          <w:lang w:eastAsia="en-AU"/>
        </w:rPr>
      </w:pPr>
      <w:r w:rsidRPr="006120F9">
        <w:rPr>
          <w:lang w:eastAsia="en-AU"/>
        </w:rPr>
        <w:t>“</w:t>
      </w:r>
      <w:r w:rsidRPr="00C363B8">
        <w:rPr>
          <w:b/>
          <w:bCs/>
          <w:lang w:eastAsia="en-AU"/>
        </w:rPr>
        <w:t xml:space="preserve">Temporary </w:t>
      </w:r>
      <w:r>
        <w:rPr>
          <w:b/>
          <w:bCs/>
          <w:lang w:eastAsia="en-AU"/>
        </w:rPr>
        <w:t>Disruption</w:t>
      </w:r>
      <w:r w:rsidRPr="00C363B8">
        <w:rPr>
          <w:b/>
          <w:bCs/>
          <w:lang w:eastAsia="en-AU"/>
        </w:rPr>
        <w:t xml:space="preserve"> Fallback</w:t>
      </w:r>
      <w:r w:rsidRPr="006120F9">
        <w:rPr>
          <w:lang w:eastAsia="en-AU"/>
        </w:rPr>
        <w:t>”</w:t>
      </w:r>
      <w:r>
        <w:rPr>
          <w:lang w:eastAsia="en-AU"/>
        </w:rPr>
        <w:t xml:space="preserve"> means, in respect of:</w:t>
      </w:r>
    </w:p>
    <w:p w14:paraId="0F4C3E01" w14:textId="77777777" w:rsidR="006414D2" w:rsidRDefault="006414D2" w:rsidP="006414D2">
      <w:pPr>
        <w:pStyle w:val="Heading1"/>
        <w:numPr>
          <w:ilvl w:val="0"/>
          <w:numId w:val="0"/>
        </w:numPr>
        <w:ind w:left="737" w:hanging="737"/>
        <w:rPr>
          <w:lang w:eastAsia="en-AU"/>
        </w:rPr>
      </w:pPr>
      <w:r>
        <w:rPr>
          <w:lang w:eastAsia="en-AU"/>
        </w:rPr>
        <w:t>(a)</w:t>
      </w:r>
      <w:r>
        <w:rPr>
          <w:lang w:eastAsia="en-AU"/>
        </w:rPr>
        <w:tab/>
        <w:t>the BBSW Rate, that the rate for any day for which the BBSW Rate is required will be the first rate available in the following order of precedence:</w:t>
      </w:r>
    </w:p>
    <w:p w14:paraId="7AF35E56" w14:textId="77777777" w:rsidR="006414D2" w:rsidRDefault="006414D2" w:rsidP="006414D2">
      <w:pPr>
        <w:pStyle w:val="Heading1"/>
        <w:numPr>
          <w:ilvl w:val="0"/>
          <w:numId w:val="0"/>
        </w:numPr>
        <w:ind w:left="1474" w:hanging="737"/>
        <w:rPr>
          <w:lang w:eastAsia="en-AU"/>
        </w:rPr>
      </w:pPr>
      <w:r>
        <w:rPr>
          <w:lang w:eastAsia="en-AU"/>
        </w:rPr>
        <w:t>(i)</w:t>
      </w:r>
      <w:r>
        <w:rPr>
          <w:lang w:eastAsia="en-AU"/>
        </w:rPr>
        <w:tab/>
        <w:t>firstly, the Administrator Recommended Rate;</w:t>
      </w:r>
    </w:p>
    <w:p w14:paraId="65770F5D" w14:textId="77777777" w:rsidR="006414D2" w:rsidRDefault="006414D2" w:rsidP="006414D2">
      <w:pPr>
        <w:pStyle w:val="Heading1"/>
        <w:numPr>
          <w:ilvl w:val="0"/>
          <w:numId w:val="0"/>
        </w:numPr>
        <w:ind w:left="1474" w:hanging="737"/>
        <w:rPr>
          <w:lang w:eastAsia="en-AU"/>
        </w:rPr>
      </w:pPr>
      <w:r>
        <w:rPr>
          <w:lang w:eastAsia="en-AU"/>
        </w:rPr>
        <w:t>(ii)</w:t>
      </w:r>
      <w:r>
        <w:rPr>
          <w:lang w:eastAsia="en-AU"/>
        </w:rPr>
        <w:tab/>
        <w:t>next, the Supervisor Recommended Rate; and</w:t>
      </w:r>
    </w:p>
    <w:p w14:paraId="23954205" w14:textId="77777777" w:rsidR="006414D2" w:rsidRPr="000E434B" w:rsidRDefault="006414D2" w:rsidP="006414D2">
      <w:pPr>
        <w:pStyle w:val="Heading1"/>
        <w:numPr>
          <w:ilvl w:val="0"/>
          <w:numId w:val="0"/>
        </w:numPr>
        <w:ind w:left="1474" w:hanging="737"/>
        <w:rPr>
          <w:lang w:eastAsia="en-AU"/>
        </w:rPr>
      </w:pPr>
      <w:r w:rsidRPr="00EA68CE">
        <w:rPr>
          <w:lang w:eastAsia="en-AU"/>
        </w:rPr>
        <w:t>(</w:t>
      </w:r>
      <w:r>
        <w:rPr>
          <w:lang w:eastAsia="en-AU"/>
        </w:rPr>
        <w:t>iii</w:t>
      </w:r>
      <w:r w:rsidRPr="00EA68CE">
        <w:rPr>
          <w:lang w:eastAsia="en-AU"/>
        </w:rPr>
        <w:t>)</w:t>
      </w:r>
      <w:r w:rsidRPr="00EA68CE">
        <w:rPr>
          <w:lang w:eastAsia="en-AU"/>
        </w:rPr>
        <w:tab/>
      </w:r>
      <w:r>
        <w:rPr>
          <w:lang w:eastAsia="en-AU"/>
        </w:rPr>
        <w:t>lastly</w:t>
      </w:r>
      <w:r w:rsidRPr="000E434B">
        <w:rPr>
          <w:lang w:eastAsia="en-AU"/>
        </w:rPr>
        <w:t>,</w:t>
      </w:r>
      <w:r>
        <w:rPr>
          <w:lang w:eastAsia="en-AU"/>
        </w:rPr>
        <w:t xml:space="preserve"> the</w:t>
      </w:r>
      <w:r w:rsidRPr="000E434B">
        <w:rPr>
          <w:lang w:eastAsia="en-AU"/>
        </w:rPr>
        <w:t xml:space="preserve"> </w:t>
      </w:r>
      <w:r>
        <w:rPr>
          <w:lang w:eastAsia="en-AU"/>
        </w:rPr>
        <w:t>Final Fallback Rate;</w:t>
      </w:r>
    </w:p>
    <w:p w14:paraId="30128E7D" w14:textId="77777777" w:rsidR="006414D2" w:rsidRPr="00973D01" w:rsidRDefault="006414D2" w:rsidP="006414D2">
      <w:pPr>
        <w:pStyle w:val="Heading1"/>
        <w:numPr>
          <w:ilvl w:val="0"/>
          <w:numId w:val="0"/>
        </w:numPr>
        <w:ind w:left="737" w:hanging="737"/>
        <w:rPr>
          <w:lang w:eastAsia="en-AU"/>
        </w:rPr>
      </w:pPr>
      <w:r w:rsidRPr="00973D01">
        <w:rPr>
          <w:lang w:eastAsia="en-AU"/>
        </w:rPr>
        <w:t>(b)</w:t>
      </w:r>
      <w:r w:rsidRPr="00973D01">
        <w:rPr>
          <w:lang w:eastAsia="en-AU"/>
        </w:rPr>
        <w:tab/>
        <w:t>AONIA, that the rate for any day for which AONIA is required will be the last provided or published level of AONIA; or</w:t>
      </w:r>
    </w:p>
    <w:p w14:paraId="52F10EA0" w14:textId="3310D008" w:rsidR="006414D2" w:rsidRDefault="006414D2" w:rsidP="006414D2">
      <w:pPr>
        <w:pStyle w:val="Heading1"/>
        <w:numPr>
          <w:ilvl w:val="0"/>
          <w:numId w:val="0"/>
        </w:numPr>
        <w:ind w:left="737" w:hanging="737"/>
        <w:rPr>
          <w:lang w:eastAsia="en-AU"/>
        </w:rPr>
      </w:pPr>
      <w:r w:rsidRPr="00973D01">
        <w:rPr>
          <w:lang w:eastAsia="en-AU"/>
        </w:rPr>
        <w:t>(c)</w:t>
      </w:r>
      <w:r w:rsidRPr="00973D01">
        <w:rPr>
          <w:lang w:eastAsia="en-AU"/>
        </w:rPr>
        <w:tab/>
        <w:t xml:space="preserve">the RBA Recommended Rate, that the rate for any day for which the RBA Recommended Rate is required will be the last provided or published level of that RBA Recommended Rate (or if no such rate has been provided or published, </w:t>
      </w:r>
      <w:r>
        <w:rPr>
          <w:lang w:eastAsia="en-AU"/>
        </w:rPr>
        <w:t xml:space="preserve">the </w:t>
      </w:r>
      <w:r w:rsidRPr="00973D01">
        <w:rPr>
          <w:lang w:eastAsia="en-AU"/>
        </w:rPr>
        <w:t>last provided or published level of AONIA).</w:t>
      </w:r>
    </w:p>
    <w:p w14:paraId="27098598" w14:textId="77777777" w:rsidR="006414D2" w:rsidRDefault="006414D2" w:rsidP="006414D2">
      <w:pPr>
        <w:pStyle w:val="Heading1"/>
        <w:numPr>
          <w:ilvl w:val="0"/>
          <w:numId w:val="0"/>
        </w:numPr>
        <w:ind w:left="737" w:hanging="737"/>
        <w:rPr>
          <w:lang w:eastAsia="en-AU"/>
        </w:rPr>
      </w:pPr>
    </w:p>
    <w:sectPr w:rsidR="006414D2" w:rsidSect="006414D2">
      <w:headerReference w:type="even" r:id="rId11"/>
      <w:headerReference w:type="default" r:id="rId12"/>
      <w:footerReference w:type="even" r:id="rId13"/>
      <w:footerReference w:type="default" r:id="rId14"/>
      <w:headerReference w:type="first" r:id="rId15"/>
      <w:footerReference w:type="first" r:id="rId16"/>
      <w:pgSz w:w="11906" w:h="16838"/>
      <w:pgMar w:top="241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0483" w14:textId="77777777" w:rsidR="00600098" w:rsidRDefault="00600098" w:rsidP="006C0714">
      <w:pPr>
        <w:spacing w:after="0" w:line="240" w:lineRule="auto"/>
      </w:pPr>
      <w:r>
        <w:separator/>
      </w:r>
    </w:p>
  </w:endnote>
  <w:endnote w:type="continuationSeparator" w:id="0">
    <w:p w14:paraId="40C958CE" w14:textId="77777777" w:rsidR="00600098" w:rsidRDefault="00600098" w:rsidP="006C0714">
      <w:pPr>
        <w:spacing w:after="0" w:line="240" w:lineRule="auto"/>
      </w:pPr>
      <w:r>
        <w:continuationSeparator/>
      </w:r>
    </w:p>
  </w:endnote>
  <w:endnote w:id="1">
    <w:p w14:paraId="04CAF954" w14:textId="77777777" w:rsidR="006414D2" w:rsidRDefault="006414D2" w:rsidP="006414D2">
      <w:pPr>
        <w:pStyle w:val="EndnoteText"/>
      </w:pPr>
      <w:r>
        <w:rPr>
          <w:rStyle w:val="EndnoteReference"/>
        </w:rPr>
        <w:endnoteRef/>
      </w:r>
      <w:r>
        <w:t xml:space="preserve"> Note that this drafting intentionally defines the “BBSW Rate” as the “Applicable Benchmark Rate” to which triggers apply inclusive of its tenor, such that disruptions are intended to apply in the context of that tenor.  This drafting has been prepared on the basis that the parties have selected one month BBSW as the reference rate for their transaction.  Parties may, however, wish to use primary rates other than BBSW (such as but not limited to AONIA) and tenors other than one month (such as but not limited to 3 months), and nothing in the publication of this drafting restricts the choices that may be made by parties in selecting the appropriate rate and tenor for their transactions.  However, if a rate and tenor other than one month BBSW is used, parties should consider whether the fallbacks used in this drafting are appropriate for that rate and tenor, and/or whether adjustments to the fallbacks and/or drafting are required.</w:t>
      </w:r>
    </w:p>
  </w:endnote>
  <w:endnote w:id="2">
    <w:p w14:paraId="79CBBFE3" w14:textId="77777777" w:rsidR="006414D2" w:rsidRDefault="006414D2" w:rsidP="006414D2">
      <w:pPr>
        <w:pStyle w:val="EndnoteText"/>
      </w:pPr>
      <w:r>
        <w:rPr>
          <w:rStyle w:val="EndnoteReference"/>
        </w:rPr>
        <w:endnoteRef/>
      </w:r>
      <w:r>
        <w:t xml:space="preserve"> This drafting provides for compounding with lookback (but without an observation period shift).  Parties may choose to use other elections, but if they do so will need to consider appropriate amendments to this drafting.</w:t>
      </w:r>
    </w:p>
  </w:endnote>
  <w:endnote w:id="3">
    <w:p w14:paraId="188D6665" w14:textId="77777777" w:rsidR="006414D2" w:rsidRDefault="006414D2" w:rsidP="006414D2">
      <w:pPr>
        <w:pStyle w:val="EndnoteText"/>
      </w:pPr>
      <w:r>
        <w:rPr>
          <w:rStyle w:val="EndnoteReference"/>
        </w:rPr>
        <w:endnoteRef/>
      </w:r>
      <w:r>
        <w:t xml:space="preserve"> This drafting suggests 5BDs to allow for most determination dates.  The appropriate lookback should be confirmed in the context of transaction details and adjustments made if appropriate.</w:t>
      </w:r>
    </w:p>
  </w:endnote>
  <w:endnote w:id="4">
    <w:p w14:paraId="039DFF25" w14:textId="77777777" w:rsidR="006414D2" w:rsidRDefault="006414D2" w:rsidP="006414D2">
      <w:pPr>
        <w:pStyle w:val="EndnoteText"/>
      </w:pPr>
      <w:r>
        <w:rPr>
          <w:rStyle w:val="EndnoteReference"/>
        </w:rPr>
        <w:endnoteRef/>
      </w:r>
      <w:r>
        <w:t xml:space="preserve"> This is a suggested waterfall only.  Parties may prefer to use other waterfalls, such as but not limited to a fallback to 3 month BBSW or a rate interpolated between continuing rates and/or tenors.  Other drafting considerations will apply if the waterfall is altered.</w:t>
      </w:r>
    </w:p>
  </w:endnote>
  <w:endnote w:id="5">
    <w:p w14:paraId="51A0B096" w14:textId="77777777" w:rsidR="006414D2" w:rsidRDefault="006414D2" w:rsidP="006414D2">
      <w:pPr>
        <w:pStyle w:val="EndnoteText"/>
      </w:pPr>
      <w:r>
        <w:rPr>
          <w:rStyle w:val="EndnoteReference"/>
        </w:rPr>
        <w:endnoteRef/>
      </w:r>
      <w:r>
        <w:t xml:space="preserve"> If there is a systems or operational time sensitivity for rate setting, parties may add a publication cut-off time here.</w:t>
      </w:r>
      <w:bookmarkStart w:id="1" w:name="_Hlk47628134"/>
    </w:p>
    <w:p w14:paraId="3EE01E49" w14:textId="77777777" w:rsidR="006414D2" w:rsidRDefault="006414D2" w:rsidP="006414D2">
      <w:pPr>
        <w:pStyle w:val="EndnoteText"/>
      </w:pPr>
    </w:p>
    <w:p w14:paraId="69328B86" w14:textId="77777777" w:rsidR="006414D2" w:rsidRDefault="006414D2" w:rsidP="006414D2">
      <w:pPr>
        <w:pStyle w:val="EndnoteText"/>
        <w:rPr>
          <w:b/>
          <w:bCs/>
          <w:sz w:val="18"/>
          <w:szCs w:val="18"/>
        </w:rPr>
      </w:pPr>
    </w:p>
    <w:p w14:paraId="7D92F59B" w14:textId="77777777" w:rsidR="006414D2" w:rsidRDefault="006414D2" w:rsidP="006414D2">
      <w:pPr>
        <w:pStyle w:val="EndnoteText"/>
        <w:rPr>
          <w:b/>
          <w:bCs/>
          <w:sz w:val="18"/>
          <w:szCs w:val="18"/>
        </w:rPr>
      </w:pPr>
    </w:p>
    <w:p w14:paraId="3A4880FD" w14:textId="77777777" w:rsidR="006414D2" w:rsidRDefault="006414D2" w:rsidP="006414D2">
      <w:pPr>
        <w:pStyle w:val="EndnoteText"/>
        <w:rPr>
          <w:b/>
          <w:bCs/>
          <w:sz w:val="18"/>
          <w:szCs w:val="18"/>
        </w:rPr>
      </w:pPr>
    </w:p>
    <w:p w14:paraId="4FF3032B" w14:textId="77777777" w:rsidR="006414D2" w:rsidRDefault="006414D2" w:rsidP="006414D2">
      <w:pPr>
        <w:pStyle w:val="EndnoteText"/>
        <w:rPr>
          <w:b/>
          <w:bCs/>
          <w:sz w:val="18"/>
          <w:szCs w:val="18"/>
        </w:rPr>
      </w:pPr>
    </w:p>
    <w:p w14:paraId="3DF8CFFE" w14:textId="77777777" w:rsidR="006414D2" w:rsidRDefault="006414D2" w:rsidP="006414D2">
      <w:pPr>
        <w:pStyle w:val="EndnoteText"/>
        <w:rPr>
          <w:b/>
          <w:bCs/>
          <w:sz w:val="18"/>
          <w:szCs w:val="18"/>
        </w:rPr>
      </w:pPr>
    </w:p>
    <w:p w14:paraId="53716A9D" w14:textId="77777777" w:rsidR="006414D2" w:rsidRDefault="006414D2" w:rsidP="006414D2">
      <w:pPr>
        <w:pStyle w:val="EndnoteText"/>
        <w:rPr>
          <w:b/>
          <w:bCs/>
          <w:sz w:val="18"/>
          <w:szCs w:val="18"/>
        </w:rPr>
      </w:pPr>
    </w:p>
    <w:p w14:paraId="356EC077" w14:textId="77777777" w:rsidR="006414D2" w:rsidRDefault="006414D2" w:rsidP="006414D2">
      <w:pPr>
        <w:pStyle w:val="EndnoteText"/>
        <w:rPr>
          <w:b/>
          <w:bCs/>
          <w:sz w:val="18"/>
          <w:szCs w:val="18"/>
        </w:rPr>
      </w:pPr>
    </w:p>
    <w:p w14:paraId="7C50E6C8" w14:textId="77777777" w:rsidR="006414D2" w:rsidRDefault="006414D2" w:rsidP="006414D2">
      <w:pPr>
        <w:pStyle w:val="EndnoteText"/>
        <w:rPr>
          <w:b/>
          <w:bCs/>
          <w:sz w:val="18"/>
          <w:szCs w:val="18"/>
        </w:rPr>
      </w:pPr>
    </w:p>
    <w:p w14:paraId="4BEC20A6" w14:textId="77777777" w:rsidR="006414D2" w:rsidRDefault="006414D2" w:rsidP="006414D2">
      <w:pPr>
        <w:pStyle w:val="EndnoteText"/>
        <w:rPr>
          <w:b/>
          <w:bCs/>
          <w:sz w:val="18"/>
          <w:szCs w:val="18"/>
        </w:rPr>
      </w:pPr>
    </w:p>
    <w:p w14:paraId="61AFEBE1" w14:textId="77777777" w:rsidR="006414D2" w:rsidRDefault="006414D2" w:rsidP="006414D2">
      <w:pPr>
        <w:pStyle w:val="EndnoteText"/>
        <w:rPr>
          <w:b/>
          <w:bCs/>
          <w:sz w:val="18"/>
          <w:szCs w:val="18"/>
        </w:rPr>
      </w:pPr>
    </w:p>
    <w:p w14:paraId="4EEFBB64" w14:textId="77777777" w:rsidR="006414D2" w:rsidRDefault="006414D2" w:rsidP="006414D2">
      <w:pPr>
        <w:pStyle w:val="EndnoteText"/>
        <w:rPr>
          <w:b/>
          <w:bCs/>
          <w:sz w:val="18"/>
          <w:szCs w:val="18"/>
        </w:rPr>
      </w:pPr>
    </w:p>
    <w:p w14:paraId="142E1DEC" w14:textId="77777777" w:rsidR="006414D2" w:rsidRDefault="006414D2" w:rsidP="006414D2">
      <w:pPr>
        <w:pStyle w:val="EndnoteText"/>
        <w:rPr>
          <w:b/>
          <w:bCs/>
          <w:sz w:val="18"/>
          <w:szCs w:val="18"/>
        </w:rPr>
      </w:pPr>
    </w:p>
    <w:p w14:paraId="2701E085" w14:textId="77777777" w:rsidR="006414D2" w:rsidRDefault="006414D2" w:rsidP="006414D2">
      <w:pPr>
        <w:pStyle w:val="EndnoteText"/>
        <w:rPr>
          <w:b/>
          <w:bCs/>
          <w:sz w:val="18"/>
          <w:szCs w:val="18"/>
        </w:rPr>
      </w:pPr>
    </w:p>
    <w:p w14:paraId="751748A0" w14:textId="77777777" w:rsidR="006414D2" w:rsidRDefault="006414D2" w:rsidP="006414D2">
      <w:pPr>
        <w:pStyle w:val="EndnoteText"/>
        <w:rPr>
          <w:b/>
          <w:bCs/>
          <w:sz w:val="18"/>
          <w:szCs w:val="18"/>
        </w:rPr>
      </w:pPr>
    </w:p>
    <w:p w14:paraId="49F47AC8" w14:textId="77777777" w:rsidR="006414D2" w:rsidRDefault="006414D2" w:rsidP="006414D2">
      <w:pPr>
        <w:pStyle w:val="EndnoteText"/>
        <w:rPr>
          <w:b/>
          <w:bCs/>
          <w:sz w:val="18"/>
          <w:szCs w:val="18"/>
        </w:rPr>
      </w:pPr>
    </w:p>
    <w:p w14:paraId="67E324B2" w14:textId="77777777" w:rsidR="006414D2" w:rsidRDefault="006414D2" w:rsidP="006414D2">
      <w:pPr>
        <w:pStyle w:val="EndnoteText"/>
        <w:rPr>
          <w:b/>
          <w:bCs/>
          <w:sz w:val="18"/>
          <w:szCs w:val="18"/>
        </w:rPr>
      </w:pPr>
    </w:p>
    <w:p w14:paraId="7B0DB630" w14:textId="77777777" w:rsidR="006414D2" w:rsidRDefault="006414D2" w:rsidP="006414D2">
      <w:pPr>
        <w:pStyle w:val="EndnoteText"/>
        <w:rPr>
          <w:b/>
          <w:bCs/>
          <w:sz w:val="18"/>
          <w:szCs w:val="18"/>
        </w:rPr>
      </w:pPr>
    </w:p>
    <w:p w14:paraId="7733C049" w14:textId="77777777" w:rsidR="006414D2" w:rsidRDefault="006414D2" w:rsidP="006414D2">
      <w:pPr>
        <w:pStyle w:val="EndnoteText"/>
        <w:rPr>
          <w:b/>
          <w:bCs/>
          <w:sz w:val="18"/>
          <w:szCs w:val="18"/>
        </w:rPr>
      </w:pPr>
    </w:p>
    <w:p w14:paraId="0C4FA15F" w14:textId="77777777" w:rsidR="006414D2" w:rsidRDefault="006414D2" w:rsidP="006414D2">
      <w:pPr>
        <w:pStyle w:val="EndnoteText"/>
        <w:rPr>
          <w:b/>
          <w:bCs/>
          <w:sz w:val="18"/>
          <w:szCs w:val="18"/>
        </w:rPr>
      </w:pPr>
    </w:p>
    <w:p w14:paraId="04A1B110" w14:textId="77777777" w:rsidR="006414D2" w:rsidRDefault="006414D2" w:rsidP="006414D2">
      <w:pPr>
        <w:pStyle w:val="EndnoteText"/>
        <w:rPr>
          <w:b/>
          <w:bCs/>
          <w:sz w:val="18"/>
          <w:szCs w:val="18"/>
        </w:rPr>
      </w:pPr>
    </w:p>
    <w:p w14:paraId="3FC84C99" w14:textId="77777777" w:rsidR="006414D2" w:rsidRDefault="006414D2" w:rsidP="006414D2">
      <w:pPr>
        <w:pStyle w:val="EndnoteText"/>
        <w:rPr>
          <w:b/>
          <w:bCs/>
          <w:sz w:val="18"/>
          <w:szCs w:val="18"/>
        </w:rPr>
      </w:pPr>
    </w:p>
    <w:p w14:paraId="6D652AA8" w14:textId="77777777" w:rsidR="006414D2" w:rsidRDefault="006414D2" w:rsidP="006414D2">
      <w:pPr>
        <w:pStyle w:val="EndnoteText"/>
        <w:rPr>
          <w:b/>
          <w:bCs/>
          <w:sz w:val="18"/>
          <w:szCs w:val="18"/>
        </w:rPr>
      </w:pPr>
    </w:p>
    <w:p w14:paraId="0A913664" w14:textId="77777777" w:rsidR="006414D2" w:rsidRDefault="006414D2" w:rsidP="006414D2">
      <w:pPr>
        <w:pStyle w:val="EndnoteText"/>
        <w:rPr>
          <w:b/>
          <w:bCs/>
          <w:sz w:val="18"/>
          <w:szCs w:val="18"/>
        </w:rPr>
      </w:pPr>
    </w:p>
    <w:p w14:paraId="0641E399" w14:textId="77777777" w:rsidR="006414D2" w:rsidRDefault="006414D2" w:rsidP="006414D2">
      <w:pPr>
        <w:pStyle w:val="EndnoteText"/>
        <w:rPr>
          <w:b/>
          <w:bCs/>
          <w:sz w:val="18"/>
          <w:szCs w:val="18"/>
        </w:rPr>
      </w:pPr>
    </w:p>
    <w:p w14:paraId="4B852F05" w14:textId="77777777" w:rsidR="006414D2" w:rsidRDefault="006414D2" w:rsidP="006414D2">
      <w:pPr>
        <w:pStyle w:val="EndnoteText"/>
        <w:rPr>
          <w:b/>
          <w:bCs/>
          <w:sz w:val="18"/>
          <w:szCs w:val="18"/>
        </w:rPr>
      </w:pPr>
    </w:p>
    <w:p w14:paraId="26675FCE" w14:textId="77777777" w:rsidR="006414D2" w:rsidRDefault="006414D2" w:rsidP="006414D2">
      <w:pPr>
        <w:pStyle w:val="EndnoteText"/>
        <w:rPr>
          <w:b/>
          <w:bCs/>
          <w:sz w:val="18"/>
          <w:szCs w:val="18"/>
        </w:rPr>
      </w:pPr>
    </w:p>
    <w:p w14:paraId="4E9A050E" w14:textId="77777777" w:rsidR="006414D2" w:rsidRDefault="006414D2" w:rsidP="006414D2">
      <w:pPr>
        <w:pStyle w:val="EndnoteText"/>
        <w:rPr>
          <w:b/>
          <w:bCs/>
          <w:sz w:val="18"/>
          <w:szCs w:val="18"/>
        </w:rPr>
      </w:pPr>
    </w:p>
    <w:p w14:paraId="52428913" w14:textId="77777777" w:rsidR="006414D2" w:rsidRDefault="006414D2" w:rsidP="006414D2">
      <w:pPr>
        <w:pStyle w:val="EndnoteText"/>
        <w:rPr>
          <w:b/>
          <w:bCs/>
          <w:sz w:val="18"/>
          <w:szCs w:val="18"/>
        </w:rPr>
      </w:pPr>
    </w:p>
    <w:p w14:paraId="329FAF32" w14:textId="77777777" w:rsidR="006414D2" w:rsidRDefault="006414D2" w:rsidP="006414D2">
      <w:pPr>
        <w:pStyle w:val="EndnoteText"/>
        <w:rPr>
          <w:b/>
          <w:bCs/>
          <w:sz w:val="18"/>
          <w:szCs w:val="18"/>
        </w:rPr>
      </w:pPr>
    </w:p>
    <w:p w14:paraId="571E73F8" w14:textId="5D9184C7" w:rsidR="006414D2" w:rsidRPr="0097089B" w:rsidRDefault="006414D2" w:rsidP="006414D2">
      <w:pPr>
        <w:pStyle w:val="EndnoteText"/>
        <w:rPr>
          <w:b/>
          <w:bCs/>
          <w:sz w:val="18"/>
          <w:szCs w:val="18"/>
        </w:rPr>
      </w:pPr>
      <w:r w:rsidRPr="0097089B">
        <w:rPr>
          <w:b/>
          <w:bCs/>
          <w:sz w:val="18"/>
          <w:szCs w:val="18"/>
        </w:rPr>
        <w:t>Important Notice</w:t>
      </w:r>
    </w:p>
    <w:p w14:paraId="4653E888" w14:textId="77777777" w:rsidR="006414D2" w:rsidRPr="009035CB" w:rsidRDefault="006414D2" w:rsidP="006414D2">
      <w:pPr>
        <w:pStyle w:val="BodyText"/>
        <w:rPr>
          <w:sz w:val="18"/>
          <w:szCs w:val="18"/>
        </w:rPr>
      </w:pPr>
      <w:r w:rsidRPr="009035CB">
        <w:rPr>
          <w:sz w:val="16"/>
          <w:szCs w:val="16"/>
        </w:rPr>
        <w:t>To the extent permitted by law, neither The Australian Securitisation Forum Inc. nor any of its affiliates, members, officers, employees or contractors (collectively, “</w:t>
      </w:r>
      <w:r w:rsidRPr="009035CB">
        <w:rPr>
          <w:b/>
          <w:sz w:val="16"/>
          <w:szCs w:val="16"/>
        </w:rPr>
        <w:t>ASF Parties</w:t>
      </w:r>
      <w:r w:rsidRPr="009035CB">
        <w:rPr>
          <w:sz w:val="16"/>
          <w:szCs w:val="16"/>
        </w:rPr>
        <w:t>”) warrants or represents that this document and any of the information set out or referred to in this document (“</w:t>
      </w:r>
      <w:r w:rsidRPr="009035CB">
        <w:rPr>
          <w:b/>
          <w:sz w:val="16"/>
          <w:szCs w:val="16"/>
        </w:rPr>
        <w:t>Information</w:t>
      </w:r>
      <w:r w:rsidRPr="009035CB">
        <w:rPr>
          <w:sz w:val="16"/>
          <w:szCs w:val="16"/>
        </w:rPr>
        <w:t>”) is accurate, reliable, complete or contemporary.  To the extent permitted by law, the ASF Parties expressly disclaim any and all responsibility for and shall not be liable in any way whatsoever (whether in negligence or otherwise) for any loss or damage which may be suffered by any person relying upon this document or any Information (including errors, defects, misrepresentations or omissions) contained in this document.  This document has been prepared for dissemination to professional and sophisticated parties only.  This document is for information purposes only and is not intended, in any jurisdiction, to be an offer or solicitation of any financial instrument or product.  This document does not purport to contain all relevant information and any statement as to any future matter is a present prediction of a possible future outcome, the accuracy of which cannot be known or guaranteed.  Past performance is not a guide to future performance.  No recipient of this document should rely upon the contents of this document and each recipient of this document should make its own assessment and evaluation, undertake an investigation and enquire and seek its own advice to enable it to make any decision concerning its own risk.</w:t>
      </w:r>
      <w:r w:rsidRPr="009035CB">
        <w:rPr>
          <w:sz w:val="18"/>
          <w:szCs w:val="18"/>
        </w:rPr>
        <w:t xml:space="preserve">  </w:t>
      </w:r>
      <w:bookmarkEnd w:id="1"/>
    </w:p>
    <w:p w14:paraId="137A5513" w14:textId="77777777" w:rsidR="006414D2" w:rsidRDefault="006414D2" w:rsidP="006414D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64A7" w14:textId="77777777" w:rsidR="006A6B41" w:rsidRDefault="006A6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6B2F" w14:textId="77777777" w:rsidR="0097089B" w:rsidRDefault="0097089B" w:rsidP="0097089B">
    <w:pPr>
      <w:pStyle w:val="ListParagraph"/>
      <w:ind w:left="360"/>
      <w:rPr>
        <w:rFonts w:ascii="Arial" w:hAnsi="Arial" w:cs="Arial"/>
        <w:b/>
        <w:bCs/>
      </w:rPr>
    </w:pPr>
  </w:p>
  <w:p w14:paraId="0AF3ABDB" w14:textId="100E2ED1" w:rsidR="004E75E5" w:rsidRPr="00DF185C" w:rsidRDefault="004E75E5" w:rsidP="00923790">
    <w:pPr>
      <w:pStyle w:val="Footer"/>
      <w:pBdr>
        <w:top w:val="single" w:sz="4" w:space="1" w:color="auto"/>
      </w:pBdr>
      <w:rPr>
        <w:rFonts w:ascii="Arial" w:hAnsi="Arial" w:cs="Arial"/>
        <w:sz w:val="16"/>
        <w:szCs w:val="16"/>
      </w:rPr>
    </w:pPr>
    <w:r w:rsidRPr="00DF185C">
      <w:rPr>
        <w:rFonts w:ascii="Arial" w:hAnsi="Arial" w:cs="Arial"/>
        <w:sz w:val="16"/>
        <w:szCs w:val="16"/>
      </w:rPr>
      <w:t xml:space="preserve">Issue date: </w:t>
    </w:r>
    <w:r w:rsidR="009E79CD">
      <w:rPr>
        <w:rFonts w:ascii="Arial" w:hAnsi="Arial" w:cs="Arial"/>
        <w:sz w:val="16"/>
        <w:szCs w:val="16"/>
      </w:rPr>
      <w:t xml:space="preserve"> </w:t>
    </w:r>
    <w:r w:rsidR="006414D2">
      <w:rPr>
        <w:rFonts w:ascii="Arial" w:hAnsi="Arial" w:cs="Arial"/>
        <w:sz w:val="16"/>
        <w:szCs w:val="16"/>
      </w:rPr>
      <w:t>November 2022</w:t>
    </w:r>
    <w:r>
      <w:rPr>
        <w:rFonts w:ascii="Arial" w:hAnsi="Arial" w:cs="Arial"/>
        <w:sz w:val="16"/>
        <w:szCs w:val="16"/>
      </w:rPr>
      <w:t xml:space="preserve">                                                                                                                                   </w:t>
    </w:r>
    <w:r w:rsidRPr="00DF185C">
      <w:rPr>
        <w:rFonts w:ascii="Arial" w:hAnsi="Arial" w:cs="Arial"/>
        <w:sz w:val="16"/>
        <w:szCs w:val="16"/>
      </w:rPr>
      <w:t xml:space="preserve"> </w:t>
    </w:r>
    <w:r>
      <w:rPr>
        <w:rFonts w:ascii="Arial" w:hAnsi="Arial" w:cs="Arial"/>
        <w:sz w:val="16"/>
        <w:szCs w:val="16"/>
      </w:rPr>
      <w:t>Page</w:t>
    </w:r>
    <w:r w:rsidRPr="00DF185C">
      <w:rPr>
        <w:rFonts w:ascii="Arial" w:hAnsi="Arial" w:cs="Arial"/>
        <w:sz w:val="16"/>
        <w:szCs w:val="16"/>
      </w:rPr>
      <w:t xml:space="preserve"> | </w:t>
    </w:r>
    <w:r w:rsidRPr="00DF185C">
      <w:rPr>
        <w:rFonts w:ascii="Arial" w:hAnsi="Arial" w:cs="Arial"/>
        <w:sz w:val="16"/>
        <w:szCs w:val="16"/>
      </w:rPr>
      <w:fldChar w:fldCharType="begin"/>
    </w:r>
    <w:r w:rsidRPr="00DF185C">
      <w:rPr>
        <w:rFonts w:ascii="Arial" w:hAnsi="Arial" w:cs="Arial"/>
        <w:sz w:val="16"/>
        <w:szCs w:val="16"/>
      </w:rPr>
      <w:instrText xml:space="preserve"> PAGE   \* MERGEFORMAT </w:instrText>
    </w:r>
    <w:r w:rsidRPr="00DF185C">
      <w:rPr>
        <w:rFonts w:ascii="Arial" w:hAnsi="Arial" w:cs="Arial"/>
        <w:sz w:val="16"/>
        <w:szCs w:val="16"/>
      </w:rPr>
      <w:fldChar w:fldCharType="separate"/>
    </w:r>
    <w:r>
      <w:rPr>
        <w:rFonts w:ascii="Arial" w:hAnsi="Arial" w:cs="Arial"/>
        <w:sz w:val="16"/>
        <w:szCs w:val="16"/>
      </w:rPr>
      <w:t>1</w:t>
    </w:r>
    <w:r w:rsidRPr="00DF185C">
      <w:rPr>
        <w:rFonts w:ascii="Arial" w:hAnsi="Arial" w:cs="Arial"/>
        <w:b/>
        <w:bCs/>
        <w:noProof/>
        <w:sz w:val="16"/>
        <w:szCs w:val="16"/>
      </w:rPr>
      <w:fldChar w:fldCharType="end"/>
    </w:r>
  </w:p>
  <w:p w14:paraId="29C9773A" w14:textId="6D4AA2DA" w:rsidR="000D7C24" w:rsidRDefault="000D7C24">
    <w:pPr>
      <w:pStyle w:val="Footer"/>
    </w:pPr>
    <w:r>
      <w:rPr>
        <w:noProof/>
        <w:lang w:eastAsia="en-AU"/>
      </w:rPr>
      <mc:AlternateContent>
        <mc:Choice Requires="wps">
          <w:drawing>
            <wp:anchor distT="0" distB="0" distL="114300" distR="114300" simplePos="0" relativeHeight="251657216" behindDoc="0" locked="0" layoutInCell="0" allowOverlap="1" wp14:anchorId="63568745" wp14:editId="2CA2F5E8">
              <wp:simplePos x="0" y="0"/>
              <wp:positionH relativeFrom="page">
                <wp:posOffset>0</wp:posOffset>
              </wp:positionH>
              <wp:positionV relativeFrom="page">
                <wp:posOffset>10234930</wp:posOffset>
              </wp:positionV>
              <wp:extent cx="7560310" cy="266700"/>
              <wp:effectExtent l="0" t="0" r="0" b="0"/>
              <wp:wrapNone/>
              <wp:docPr id="1" name="MSIPCM32fd428dadfdfa184c4de408" descr="{&quot;HashCode&quot;:37374937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184946" w14:textId="4B9FF2B5" w:rsidR="000D7C24" w:rsidRPr="000D7C24" w:rsidRDefault="000D7C24" w:rsidP="000D7C24">
                          <w:pPr>
                            <w:spacing w:after="0"/>
                            <w:rPr>
                              <w:rFonts w:ascii="Arial" w:hAnsi="Arial" w:cs="Arial"/>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568745" id="_x0000_t202" coordsize="21600,21600" o:spt="202" path="m,l,21600r21600,l21600,xe">
              <v:stroke joinstyle="miter"/>
              <v:path gradientshapeok="t" o:connecttype="rect"/>
            </v:shapetype>
            <v:shape id="MSIPCM32fd428dadfdfa184c4de408" o:spid="_x0000_s1026" type="#_x0000_t202" alt="{&quot;HashCode&quot;:373749371,&quot;Height&quot;:841.0,&quot;Width&quot;:595.0,&quot;Placement&quot;:&quot;Footer&quot;,&quot;Index&quot;:&quot;Primary&quot;,&quot;Section&quot;:1,&quot;Top&quot;:0.0,&quot;Left&quot;:0.0}" style="position:absolute;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2zeZMAAMAAFcGAAAOAAAAAAAAAAAAAAAAAC4CAABkcnMvZTJvRG9jLnhtbFBLAQIt&#10;ABQABgAIAAAAIQBgEcYm3gAAAAsBAAAPAAAAAAAAAAAAAAAAAFoFAABkcnMvZG93bnJldi54bWxQ&#10;SwUGAAAAAAQABADzAAAAZQYAAAAA&#10;" o:allowincell="f" filled="f" stroked="f" strokeweight=".5pt">
              <v:textbox inset="20pt,0,,0">
                <w:txbxContent>
                  <w:p w14:paraId="1F184946" w14:textId="4B9FF2B5" w:rsidR="000D7C24" w:rsidRPr="000D7C24" w:rsidRDefault="000D7C24" w:rsidP="000D7C24">
                    <w:pPr>
                      <w:spacing w:after="0"/>
                      <w:rPr>
                        <w:rFonts w:ascii="Arial" w:hAnsi="Arial" w:cs="Arial"/>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7B39" w14:textId="29B2C716" w:rsidR="00DF185C" w:rsidRPr="00DF185C" w:rsidRDefault="00DF185C" w:rsidP="00923790">
    <w:pPr>
      <w:pStyle w:val="Footer"/>
      <w:pBdr>
        <w:top w:val="single" w:sz="4" w:space="1" w:color="auto"/>
      </w:pBdr>
      <w:spacing w:before="120"/>
      <w:rPr>
        <w:rFonts w:ascii="Arial" w:hAnsi="Arial" w:cs="Arial"/>
        <w:sz w:val="16"/>
        <w:szCs w:val="16"/>
      </w:rPr>
    </w:pPr>
    <w:r w:rsidRPr="00DF185C">
      <w:rPr>
        <w:rFonts w:ascii="Arial" w:hAnsi="Arial" w:cs="Arial"/>
        <w:sz w:val="16"/>
        <w:szCs w:val="16"/>
      </w:rPr>
      <w:t xml:space="preserve">Issue date: </w:t>
    </w:r>
    <w:r w:rsidR="00DD41A9">
      <w:rPr>
        <w:rFonts w:ascii="Arial" w:hAnsi="Arial" w:cs="Arial"/>
        <w:sz w:val="16"/>
        <w:szCs w:val="16"/>
      </w:rPr>
      <w:t>November 2022</w:t>
    </w:r>
    <w:r w:rsidRPr="00DF185C">
      <w:rPr>
        <w:rFonts w:ascii="Arial" w:hAnsi="Arial" w:cs="Arial"/>
        <w:sz w:val="16"/>
        <w:szCs w:val="16"/>
      </w:rPr>
      <w:t xml:space="preserve">  </w:t>
    </w:r>
    <w:r w:rsidR="004E75E5">
      <w:rPr>
        <w:rFonts w:ascii="Arial" w:hAnsi="Arial" w:cs="Arial"/>
        <w:sz w:val="16"/>
        <w:szCs w:val="16"/>
      </w:rPr>
      <w:t xml:space="preserve">                                                                                                                                     </w:t>
    </w:r>
    <w:r w:rsidRPr="00DF185C">
      <w:rPr>
        <w:rFonts w:ascii="Arial" w:hAnsi="Arial" w:cs="Arial"/>
        <w:sz w:val="16"/>
        <w:szCs w:val="16"/>
      </w:rPr>
      <w:t xml:space="preserve"> </w:t>
    </w:r>
    <w:proofErr w:type="gramStart"/>
    <w:r>
      <w:rPr>
        <w:rFonts w:ascii="Arial" w:hAnsi="Arial" w:cs="Arial"/>
        <w:sz w:val="16"/>
        <w:szCs w:val="16"/>
      </w:rPr>
      <w:t xml:space="preserve">Page </w:t>
    </w:r>
    <w:r w:rsidRPr="00DF185C">
      <w:rPr>
        <w:rFonts w:ascii="Arial" w:hAnsi="Arial" w:cs="Arial"/>
        <w:sz w:val="16"/>
        <w:szCs w:val="16"/>
      </w:rPr>
      <w:t xml:space="preserve"> |</w:t>
    </w:r>
    <w:proofErr w:type="gramEnd"/>
    <w:r w:rsidRPr="00DF185C">
      <w:rPr>
        <w:rFonts w:ascii="Arial" w:hAnsi="Arial" w:cs="Arial"/>
        <w:sz w:val="16"/>
        <w:szCs w:val="16"/>
      </w:rPr>
      <w:t xml:space="preserve"> </w:t>
    </w:r>
    <w:r w:rsidRPr="00DF185C">
      <w:rPr>
        <w:rFonts w:ascii="Arial" w:hAnsi="Arial" w:cs="Arial"/>
        <w:sz w:val="16"/>
        <w:szCs w:val="16"/>
      </w:rPr>
      <w:fldChar w:fldCharType="begin"/>
    </w:r>
    <w:r w:rsidRPr="00DF185C">
      <w:rPr>
        <w:rFonts w:ascii="Arial" w:hAnsi="Arial" w:cs="Arial"/>
        <w:sz w:val="16"/>
        <w:szCs w:val="16"/>
      </w:rPr>
      <w:instrText xml:space="preserve"> PAGE   \* MERGEFORMAT </w:instrText>
    </w:r>
    <w:r w:rsidRPr="00DF185C">
      <w:rPr>
        <w:rFonts w:ascii="Arial" w:hAnsi="Arial" w:cs="Arial"/>
        <w:sz w:val="16"/>
        <w:szCs w:val="16"/>
      </w:rPr>
      <w:fldChar w:fldCharType="separate"/>
    </w:r>
    <w:r w:rsidRPr="00DF185C">
      <w:rPr>
        <w:rFonts w:ascii="Arial" w:hAnsi="Arial" w:cs="Arial"/>
        <w:b/>
        <w:bCs/>
        <w:noProof/>
        <w:sz w:val="16"/>
        <w:szCs w:val="16"/>
      </w:rPr>
      <w:t>1</w:t>
    </w:r>
    <w:r w:rsidRPr="00DF185C">
      <w:rPr>
        <w:rFonts w:ascii="Arial" w:hAnsi="Arial" w:cs="Arial"/>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E7EB" w14:textId="77777777" w:rsidR="00600098" w:rsidRDefault="00600098" w:rsidP="006C0714">
      <w:pPr>
        <w:spacing w:after="0" w:line="240" w:lineRule="auto"/>
      </w:pPr>
      <w:r>
        <w:separator/>
      </w:r>
    </w:p>
  </w:footnote>
  <w:footnote w:type="continuationSeparator" w:id="0">
    <w:p w14:paraId="17C9B36E" w14:textId="77777777" w:rsidR="00600098" w:rsidRDefault="00600098" w:rsidP="006C0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188B" w14:textId="77777777" w:rsidR="006A6B41" w:rsidRDefault="006A6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FFC7" w14:textId="3E69D0E0" w:rsidR="006C0714" w:rsidRDefault="00E57679" w:rsidP="00DF185C">
    <w:pPr>
      <w:pStyle w:val="Header"/>
      <w:pBdr>
        <w:bottom w:val="single" w:sz="4" w:space="1" w:color="auto"/>
      </w:pBdr>
      <w:tabs>
        <w:tab w:val="clear" w:pos="4513"/>
        <w:tab w:val="clear" w:pos="9026"/>
        <w:tab w:val="left" w:pos="5139"/>
      </w:tabs>
    </w:pPr>
    <w:r>
      <w:rPr>
        <w:noProof/>
      </w:rPr>
      <w:drawing>
        <wp:inline distT="0" distB="0" distL="0" distR="0" wp14:anchorId="0FB5B545" wp14:editId="4F4D81C6">
          <wp:extent cx="980281" cy="723900"/>
          <wp:effectExtent l="0" t="0" r="0" b="0"/>
          <wp:docPr id="26" name="Picture 2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ASF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006240" cy="743069"/>
                  </a:xfrm>
                  <a:prstGeom prst="rect">
                    <a:avLst/>
                  </a:prstGeom>
                </pic:spPr>
              </pic:pic>
            </a:graphicData>
          </a:graphic>
        </wp:inline>
      </w:drawing>
    </w:r>
    <w:r w:rsidR="00DF185C">
      <w:tab/>
    </w:r>
  </w:p>
  <w:p w14:paraId="2B205253" w14:textId="77777777" w:rsidR="00DF185C" w:rsidRPr="00E57679" w:rsidRDefault="00DF185C" w:rsidP="0097089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6575" w14:textId="77777777" w:rsidR="006124F6" w:rsidRDefault="006124F6">
    <w:pPr>
      <w:pStyle w:val="Header"/>
    </w:pPr>
  </w:p>
  <w:p w14:paraId="31F88518" w14:textId="77777777" w:rsidR="006124F6" w:rsidRDefault="006124F6">
    <w:pPr>
      <w:pStyle w:val="Header"/>
    </w:pPr>
  </w:p>
  <w:p w14:paraId="4B0E9E53" w14:textId="4C9602DC" w:rsidR="0097089B" w:rsidRDefault="0097089B">
    <w:pPr>
      <w:pStyle w:val="Header"/>
    </w:pPr>
    <w:r>
      <w:rPr>
        <w:noProof/>
      </w:rPr>
      <w:drawing>
        <wp:inline distT="0" distB="0" distL="0" distR="0" wp14:anchorId="2A413D26" wp14:editId="03781B11">
          <wp:extent cx="1681200" cy="1242000"/>
          <wp:effectExtent l="0" t="0" r="0" b="0"/>
          <wp:docPr id="27" name="Picture 2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1200" cy="124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905"/>
    <w:multiLevelType w:val="hybridMultilevel"/>
    <w:tmpl w:val="16D2F8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F82E80"/>
    <w:multiLevelType w:val="hybridMultilevel"/>
    <w:tmpl w:val="7360AFD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34E15A50"/>
    <w:multiLevelType w:val="hybridMultilevel"/>
    <w:tmpl w:val="EDAEF1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37BD0914"/>
    <w:multiLevelType w:val="hybridMultilevel"/>
    <w:tmpl w:val="CA20C4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AA05D29"/>
    <w:multiLevelType w:val="hybridMultilevel"/>
    <w:tmpl w:val="789A0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7421BC"/>
    <w:multiLevelType w:val="hybridMultilevel"/>
    <w:tmpl w:val="E5465DF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74F5B27"/>
    <w:multiLevelType w:val="hybridMultilevel"/>
    <w:tmpl w:val="CB425A0C"/>
    <w:lvl w:ilvl="0" w:tplc="CF9654E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75F4468"/>
    <w:multiLevelType w:val="hybridMultilevel"/>
    <w:tmpl w:val="0EB23EB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FE13B0"/>
    <w:multiLevelType w:val="multilevel"/>
    <w:tmpl w:val="19EAA0BE"/>
    <w:lvl w:ilvl="0">
      <w:start w:val="1"/>
      <w:numFmt w:val="decimal"/>
      <w:pStyle w:val="Heading1"/>
      <w:lvlText w:val="%1"/>
      <w:lvlJc w:val="left"/>
      <w:pPr>
        <w:tabs>
          <w:tab w:val="num" w:pos="1447"/>
        </w:tabs>
        <w:ind w:left="144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737"/>
        </w:tabs>
        <w:ind w:left="737" w:hanging="737"/>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9" w15:restartNumberingAfterBreak="0">
    <w:nsid w:val="56373AE8"/>
    <w:multiLevelType w:val="hybridMultilevel"/>
    <w:tmpl w:val="4FF005C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0" w15:restartNumberingAfterBreak="0">
    <w:nsid w:val="59B24475"/>
    <w:multiLevelType w:val="hybridMultilevel"/>
    <w:tmpl w:val="049891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8AE2334"/>
    <w:multiLevelType w:val="hybridMultilevel"/>
    <w:tmpl w:val="73226214"/>
    <w:lvl w:ilvl="0" w:tplc="0C090011">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3"/>
  </w:num>
  <w:num w:numId="6">
    <w:abstractNumId w:val="1"/>
  </w:num>
  <w:num w:numId="7">
    <w:abstractNumId w:val="11"/>
  </w:num>
  <w:num w:numId="8">
    <w:abstractNumId w:val="7"/>
  </w:num>
  <w:num w:numId="9">
    <w:abstractNumId w:val="2"/>
  </w:num>
  <w:num w:numId="10">
    <w:abstractNumId w:val="10"/>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F7F"/>
    <w:rsid w:val="000176B7"/>
    <w:rsid w:val="00017ED8"/>
    <w:rsid w:val="0007069B"/>
    <w:rsid w:val="00083EEA"/>
    <w:rsid w:val="000B2296"/>
    <w:rsid w:val="000B672E"/>
    <w:rsid w:val="000D7C24"/>
    <w:rsid w:val="00136629"/>
    <w:rsid w:val="00146FA3"/>
    <w:rsid w:val="00167442"/>
    <w:rsid w:val="001B1E51"/>
    <w:rsid w:val="001F694C"/>
    <w:rsid w:val="00201B53"/>
    <w:rsid w:val="00242DCC"/>
    <w:rsid w:val="00251EAF"/>
    <w:rsid w:val="0028220A"/>
    <w:rsid w:val="00285127"/>
    <w:rsid w:val="002F7611"/>
    <w:rsid w:val="003005D3"/>
    <w:rsid w:val="003149D5"/>
    <w:rsid w:val="00336A86"/>
    <w:rsid w:val="00336BCD"/>
    <w:rsid w:val="00362CB2"/>
    <w:rsid w:val="003631D8"/>
    <w:rsid w:val="003847A2"/>
    <w:rsid w:val="0040127F"/>
    <w:rsid w:val="004057AC"/>
    <w:rsid w:val="00466E5F"/>
    <w:rsid w:val="004832A7"/>
    <w:rsid w:val="004D4FDC"/>
    <w:rsid w:val="004D67FD"/>
    <w:rsid w:val="004E4A2B"/>
    <w:rsid w:val="004E75E5"/>
    <w:rsid w:val="004E7B01"/>
    <w:rsid w:val="005C0A0D"/>
    <w:rsid w:val="00600098"/>
    <w:rsid w:val="006124F6"/>
    <w:rsid w:val="00627B39"/>
    <w:rsid w:val="006414D2"/>
    <w:rsid w:val="00647F4D"/>
    <w:rsid w:val="006535FD"/>
    <w:rsid w:val="00654617"/>
    <w:rsid w:val="006744AB"/>
    <w:rsid w:val="00674790"/>
    <w:rsid w:val="00697A9C"/>
    <w:rsid w:val="006A6B41"/>
    <w:rsid w:val="006C0714"/>
    <w:rsid w:val="006C0CB6"/>
    <w:rsid w:val="006F50F3"/>
    <w:rsid w:val="00701A18"/>
    <w:rsid w:val="00732F7F"/>
    <w:rsid w:val="00751BAB"/>
    <w:rsid w:val="00754437"/>
    <w:rsid w:val="00773682"/>
    <w:rsid w:val="00775E0C"/>
    <w:rsid w:val="008720F4"/>
    <w:rsid w:val="008B4FD4"/>
    <w:rsid w:val="008D788E"/>
    <w:rsid w:val="009035CB"/>
    <w:rsid w:val="00923790"/>
    <w:rsid w:val="0096277C"/>
    <w:rsid w:val="00964CFF"/>
    <w:rsid w:val="00967B55"/>
    <w:rsid w:val="0097089B"/>
    <w:rsid w:val="00985168"/>
    <w:rsid w:val="009E6D43"/>
    <w:rsid w:val="009E79CD"/>
    <w:rsid w:val="00A07971"/>
    <w:rsid w:val="00A36CE1"/>
    <w:rsid w:val="00A51D49"/>
    <w:rsid w:val="00A720EB"/>
    <w:rsid w:val="00A904E2"/>
    <w:rsid w:val="00AB7F96"/>
    <w:rsid w:val="00AD12CE"/>
    <w:rsid w:val="00AD73E0"/>
    <w:rsid w:val="00B0607F"/>
    <w:rsid w:val="00B10C9B"/>
    <w:rsid w:val="00B115D2"/>
    <w:rsid w:val="00B479FE"/>
    <w:rsid w:val="00B72B5E"/>
    <w:rsid w:val="00BE5929"/>
    <w:rsid w:val="00C00CC5"/>
    <w:rsid w:val="00C068AB"/>
    <w:rsid w:val="00C15E4C"/>
    <w:rsid w:val="00C45194"/>
    <w:rsid w:val="00C45638"/>
    <w:rsid w:val="00C540E7"/>
    <w:rsid w:val="00C744B1"/>
    <w:rsid w:val="00CC34B2"/>
    <w:rsid w:val="00CC7555"/>
    <w:rsid w:val="00CD15CB"/>
    <w:rsid w:val="00CD680E"/>
    <w:rsid w:val="00D01C39"/>
    <w:rsid w:val="00D22EEC"/>
    <w:rsid w:val="00D3052A"/>
    <w:rsid w:val="00D618B9"/>
    <w:rsid w:val="00D75C35"/>
    <w:rsid w:val="00DD41A9"/>
    <w:rsid w:val="00DF185C"/>
    <w:rsid w:val="00DF65D6"/>
    <w:rsid w:val="00E0385A"/>
    <w:rsid w:val="00E05EB7"/>
    <w:rsid w:val="00E110EC"/>
    <w:rsid w:val="00E517AA"/>
    <w:rsid w:val="00E57679"/>
    <w:rsid w:val="00F32071"/>
    <w:rsid w:val="00F5191F"/>
    <w:rsid w:val="00F94AD5"/>
    <w:rsid w:val="00FA5523"/>
    <w:rsid w:val="00FB4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5C28"/>
  <w15:chartTrackingRefBased/>
  <w15:docId w15:val="{E57C865F-9432-460B-B6EC-9672CF75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6414D2"/>
    <w:pPr>
      <w:numPr>
        <w:numId w:val="13"/>
      </w:numPr>
      <w:spacing w:after="240" w:line="240" w:lineRule="auto"/>
      <w:outlineLvl w:val="0"/>
    </w:pPr>
    <w:rPr>
      <w:rFonts w:ascii="Arial" w:eastAsia="Times New Roman" w:hAnsi="Arial" w:cs="Arial"/>
      <w:sz w:val="20"/>
      <w:szCs w:val="20"/>
    </w:rPr>
  </w:style>
  <w:style w:type="paragraph" w:styleId="Heading2">
    <w:name w:val="heading 2"/>
    <w:basedOn w:val="Normal"/>
    <w:link w:val="Heading2Char"/>
    <w:qFormat/>
    <w:rsid w:val="006414D2"/>
    <w:pPr>
      <w:numPr>
        <w:ilvl w:val="1"/>
        <w:numId w:val="13"/>
      </w:numPr>
      <w:tabs>
        <w:tab w:val="clear" w:pos="737"/>
      </w:tabs>
      <w:spacing w:after="240" w:line="240" w:lineRule="auto"/>
      <w:outlineLvl w:val="1"/>
    </w:pPr>
    <w:rPr>
      <w:rFonts w:ascii="Arial" w:eastAsia="Times New Roman" w:hAnsi="Arial" w:cs="Arial"/>
      <w:sz w:val="20"/>
      <w:szCs w:val="20"/>
    </w:rPr>
  </w:style>
  <w:style w:type="paragraph" w:styleId="Heading3">
    <w:name w:val="heading 3"/>
    <w:basedOn w:val="Normal"/>
    <w:link w:val="Heading3Char"/>
    <w:qFormat/>
    <w:rsid w:val="006414D2"/>
    <w:pPr>
      <w:numPr>
        <w:ilvl w:val="2"/>
        <w:numId w:val="13"/>
      </w:numPr>
      <w:spacing w:after="240" w:line="240" w:lineRule="auto"/>
      <w:outlineLvl w:val="2"/>
    </w:pPr>
    <w:rPr>
      <w:rFonts w:ascii="Arial" w:eastAsia="Times New Roman" w:hAnsi="Arial" w:cs="Arial"/>
      <w:sz w:val="20"/>
      <w:szCs w:val="20"/>
    </w:rPr>
  </w:style>
  <w:style w:type="paragraph" w:styleId="Heading4">
    <w:name w:val="heading 4"/>
    <w:basedOn w:val="Normal"/>
    <w:link w:val="Heading4Char"/>
    <w:qFormat/>
    <w:rsid w:val="006414D2"/>
    <w:pPr>
      <w:numPr>
        <w:ilvl w:val="3"/>
        <w:numId w:val="13"/>
      </w:numPr>
      <w:spacing w:after="240" w:line="240" w:lineRule="auto"/>
      <w:outlineLvl w:val="3"/>
    </w:pPr>
    <w:rPr>
      <w:rFonts w:ascii="Arial" w:eastAsia="Times New Roman" w:hAnsi="Arial" w:cs="Arial"/>
      <w:sz w:val="20"/>
      <w:szCs w:val="20"/>
    </w:rPr>
  </w:style>
  <w:style w:type="paragraph" w:styleId="Heading5">
    <w:name w:val="heading 5"/>
    <w:basedOn w:val="Normal"/>
    <w:link w:val="Heading5Char"/>
    <w:qFormat/>
    <w:rsid w:val="006414D2"/>
    <w:pPr>
      <w:numPr>
        <w:ilvl w:val="4"/>
        <w:numId w:val="13"/>
      </w:numPr>
      <w:tabs>
        <w:tab w:val="clear" w:pos="2948"/>
      </w:tabs>
      <w:spacing w:after="240" w:line="240" w:lineRule="auto"/>
      <w:outlineLvl w:val="4"/>
    </w:pPr>
    <w:rPr>
      <w:rFonts w:ascii="Arial" w:eastAsia="Times New Roman" w:hAnsi="Arial" w:cs="Arial"/>
      <w:sz w:val="20"/>
      <w:szCs w:val="20"/>
    </w:rPr>
  </w:style>
  <w:style w:type="paragraph" w:styleId="Heading6">
    <w:name w:val="heading 6"/>
    <w:basedOn w:val="Normal"/>
    <w:link w:val="Heading6Char"/>
    <w:qFormat/>
    <w:rsid w:val="006414D2"/>
    <w:pPr>
      <w:numPr>
        <w:ilvl w:val="5"/>
        <w:numId w:val="13"/>
      </w:numPr>
      <w:spacing w:after="240" w:line="240" w:lineRule="auto"/>
      <w:outlineLvl w:val="5"/>
    </w:pPr>
    <w:rPr>
      <w:rFonts w:ascii="Arial" w:eastAsia="Times New Roman" w:hAnsi="Arial" w:cs="Arial"/>
      <w:sz w:val="20"/>
      <w:szCs w:val="20"/>
    </w:rPr>
  </w:style>
  <w:style w:type="paragraph" w:styleId="Heading7">
    <w:name w:val="heading 7"/>
    <w:basedOn w:val="Normal"/>
    <w:link w:val="Heading7Char"/>
    <w:qFormat/>
    <w:rsid w:val="006414D2"/>
    <w:pPr>
      <w:numPr>
        <w:ilvl w:val="6"/>
        <w:numId w:val="13"/>
      </w:numPr>
      <w:tabs>
        <w:tab w:val="clear" w:pos="737"/>
      </w:tabs>
      <w:spacing w:after="240" w:line="240" w:lineRule="auto"/>
      <w:outlineLvl w:val="6"/>
    </w:pPr>
    <w:rPr>
      <w:rFonts w:ascii="Arial" w:eastAsia="Times New Roman" w:hAnsi="Arial" w:cs="Arial"/>
      <w:sz w:val="20"/>
      <w:szCs w:val="20"/>
    </w:rPr>
  </w:style>
  <w:style w:type="paragraph" w:styleId="Heading8">
    <w:name w:val="heading 8"/>
    <w:basedOn w:val="Normal"/>
    <w:link w:val="Heading8Char"/>
    <w:qFormat/>
    <w:rsid w:val="006414D2"/>
    <w:pPr>
      <w:numPr>
        <w:ilvl w:val="7"/>
        <w:numId w:val="13"/>
      </w:numPr>
      <w:tabs>
        <w:tab w:val="clear" w:pos="1474"/>
      </w:tabs>
      <w:spacing w:after="240" w:line="240" w:lineRule="auto"/>
      <w:outlineLvl w:val="7"/>
    </w:pPr>
    <w:rPr>
      <w:rFonts w:ascii="Arial" w:eastAsia="Times New Roman" w:hAnsi="Arial" w:cs="Arial"/>
      <w:sz w:val="20"/>
      <w:szCs w:val="20"/>
    </w:rPr>
  </w:style>
  <w:style w:type="paragraph" w:styleId="Heading9">
    <w:name w:val="heading 9"/>
    <w:basedOn w:val="Normal"/>
    <w:link w:val="Heading9Char"/>
    <w:qFormat/>
    <w:rsid w:val="006414D2"/>
    <w:pPr>
      <w:numPr>
        <w:ilvl w:val="8"/>
        <w:numId w:val="13"/>
      </w:numPr>
      <w:tabs>
        <w:tab w:val="clear" w:pos="2211"/>
      </w:tabs>
      <w:spacing w:after="240" w:line="240" w:lineRule="auto"/>
      <w:outlineLvl w:val="8"/>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9FE"/>
    <w:pPr>
      <w:spacing w:line="252" w:lineRule="auto"/>
      <w:ind w:left="720"/>
      <w:contextualSpacing/>
    </w:pPr>
    <w:rPr>
      <w:rFonts w:ascii="Calibri" w:hAnsi="Calibri" w:cs="Calibri"/>
      <w:lang w:eastAsia="en-AU"/>
    </w:rPr>
  </w:style>
  <w:style w:type="paragraph" w:styleId="Header">
    <w:name w:val="header"/>
    <w:basedOn w:val="Normal"/>
    <w:link w:val="HeaderChar"/>
    <w:uiPriority w:val="99"/>
    <w:unhideWhenUsed/>
    <w:rsid w:val="006C0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714"/>
  </w:style>
  <w:style w:type="paragraph" w:styleId="Footer">
    <w:name w:val="footer"/>
    <w:basedOn w:val="Normal"/>
    <w:link w:val="FooterChar"/>
    <w:uiPriority w:val="99"/>
    <w:unhideWhenUsed/>
    <w:rsid w:val="006C0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714"/>
  </w:style>
  <w:style w:type="character" w:styleId="CommentReference">
    <w:name w:val="annotation reference"/>
    <w:basedOn w:val="DefaultParagraphFont"/>
    <w:uiPriority w:val="99"/>
    <w:semiHidden/>
    <w:unhideWhenUsed/>
    <w:rsid w:val="00AD12CE"/>
    <w:rPr>
      <w:sz w:val="16"/>
      <w:szCs w:val="16"/>
    </w:rPr>
  </w:style>
  <w:style w:type="paragraph" w:styleId="CommentText">
    <w:name w:val="annotation text"/>
    <w:basedOn w:val="Normal"/>
    <w:link w:val="CommentTextChar"/>
    <w:uiPriority w:val="99"/>
    <w:semiHidden/>
    <w:unhideWhenUsed/>
    <w:rsid w:val="00AD12CE"/>
    <w:pPr>
      <w:spacing w:line="240" w:lineRule="auto"/>
    </w:pPr>
    <w:rPr>
      <w:sz w:val="20"/>
      <w:szCs w:val="20"/>
    </w:rPr>
  </w:style>
  <w:style w:type="character" w:customStyle="1" w:styleId="CommentTextChar">
    <w:name w:val="Comment Text Char"/>
    <w:basedOn w:val="DefaultParagraphFont"/>
    <w:link w:val="CommentText"/>
    <w:uiPriority w:val="99"/>
    <w:semiHidden/>
    <w:rsid w:val="00AD12CE"/>
    <w:rPr>
      <w:sz w:val="20"/>
      <w:szCs w:val="20"/>
    </w:rPr>
  </w:style>
  <w:style w:type="paragraph" w:styleId="CommentSubject">
    <w:name w:val="annotation subject"/>
    <w:basedOn w:val="CommentText"/>
    <w:next w:val="CommentText"/>
    <w:link w:val="CommentSubjectChar"/>
    <w:uiPriority w:val="99"/>
    <w:semiHidden/>
    <w:unhideWhenUsed/>
    <w:rsid w:val="00AD12CE"/>
    <w:rPr>
      <w:b/>
      <w:bCs/>
    </w:rPr>
  </w:style>
  <w:style w:type="character" w:customStyle="1" w:styleId="CommentSubjectChar">
    <w:name w:val="Comment Subject Char"/>
    <w:basedOn w:val="CommentTextChar"/>
    <w:link w:val="CommentSubject"/>
    <w:uiPriority w:val="99"/>
    <w:semiHidden/>
    <w:rsid w:val="00AD12CE"/>
    <w:rPr>
      <w:b/>
      <w:bCs/>
      <w:sz w:val="20"/>
      <w:szCs w:val="20"/>
    </w:rPr>
  </w:style>
  <w:style w:type="paragraph" w:styleId="BalloonText">
    <w:name w:val="Balloon Text"/>
    <w:basedOn w:val="Normal"/>
    <w:link w:val="BalloonTextChar"/>
    <w:uiPriority w:val="99"/>
    <w:semiHidden/>
    <w:unhideWhenUsed/>
    <w:rsid w:val="00AD1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2CE"/>
    <w:rPr>
      <w:rFonts w:ascii="Segoe UI" w:hAnsi="Segoe UI" w:cs="Segoe UI"/>
      <w:sz w:val="18"/>
      <w:szCs w:val="18"/>
    </w:rPr>
  </w:style>
  <w:style w:type="paragraph" w:styleId="BodyText">
    <w:name w:val="Body Text"/>
    <w:basedOn w:val="Normal"/>
    <w:link w:val="BodyTextChar"/>
    <w:rsid w:val="003005D3"/>
    <w:pPr>
      <w:spacing w:after="24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3005D3"/>
    <w:rPr>
      <w:rFonts w:ascii="Arial" w:eastAsia="Times New Roman" w:hAnsi="Arial" w:cs="Arial"/>
      <w:sz w:val="20"/>
      <w:szCs w:val="20"/>
    </w:rPr>
  </w:style>
  <w:style w:type="character" w:styleId="Hyperlink">
    <w:name w:val="Hyperlink"/>
    <w:basedOn w:val="DefaultParagraphFont"/>
    <w:uiPriority w:val="99"/>
    <w:unhideWhenUsed/>
    <w:rsid w:val="00DF185C"/>
    <w:rPr>
      <w:color w:val="0563C1" w:themeColor="hyperlink"/>
      <w:u w:val="single"/>
    </w:rPr>
  </w:style>
  <w:style w:type="character" w:styleId="UnresolvedMention">
    <w:name w:val="Unresolved Mention"/>
    <w:basedOn w:val="DefaultParagraphFont"/>
    <w:uiPriority w:val="99"/>
    <w:semiHidden/>
    <w:unhideWhenUsed/>
    <w:rsid w:val="00DF185C"/>
    <w:rPr>
      <w:color w:val="605E5C"/>
      <w:shd w:val="clear" w:color="auto" w:fill="E1DFDD"/>
    </w:rPr>
  </w:style>
  <w:style w:type="character" w:customStyle="1" w:styleId="Heading1Char">
    <w:name w:val="Heading 1 Char"/>
    <w:basedOn w:val="DefaultParagraphFont"/>
    <w:link w:val="Heading1"/>
    <w:rsid w:val="006414D2"/>
    <w:rPr>
      <w:rFonts w:ascii="Arial" w:eastAsia="Times New Roman" w:hAnsi="Arial" w:cs="Arial"/>
      <w:sz w:val="20"/>
      <w:szCs w:val="20"/>
    </w:rPr>
  </w:style>
  <w:style w:type="character" w:customStyle="1" w:styleId="Heading2Char">
    <w:name w:val="Heading 2 Char"/>
    <w:basedOn w:val="DefaultParagraphFont"/>
    <w:link w:val="Heading2"/>
    <w:rsid w:val="006414D2"/>
    <w:rPr>
      <w:rFonts w:ascii="Arial" w:eastAsia="Times New Roman" w:hAnsi="Arial" w:cs="Arial"/>
      <w:sz w:val="20"/>
      <w:szCs w:val="20"/>
    </w:rPr>
  </w:style>
  <w:style w:type="character" w:customStyle="1" w:styleId="Heading3Char">
    <w:name w:val="Heading 3 Char"/>
    <w:basedOn w:val="DefaultParagraphFont"/>
    <w:link w:val="Heading3"/>
    <w:rsid w:val="006414D2"/>
    <w:rPr>
      <w:rFonts w:ascii="Arial" w:eastAsia="Times New Roman" w:hAnsi="Arial" w:cs="Arial"/>
      <w:sz w:val="20"/>
      <w:szCs w:val="20"/>
    </w:rPr>
  </w:style>
  <w:style w:type="character" w:customStyle="1" w:styleId="Heading4Char">
    <w:name w:val="Heading 4 Char"/>
    <w:basedOn w:val="DefaultParagraphFont"/>
    <w:link w:val="Heading4"/>
    <w:rsid w:val="006414D2"/>
    <w:rPr>
      <w:rFonts w:ascii="Arial" w:eastAsia="Times New Roman" w:hAnsi="Arial" w:cs="Arial"/>
      <w:sz w:val="20"/>
      <w:szCs w:val="20"/>
    </w:rPr>
  </w:style>
  <w:style w:type="character" w:customStyle="1" w:styleId="Heading5Char">
    <w:name w:val="Heading 5 Char"/>
    <w:basedOn w:val="DefaultParagraphFont"/>
    <w:link w:val="Heading5"/>
    <w:rsid w:val="006414D2"/>
    <w:rPr>
      <w:rFonts w:ascii="Arial" w:eastAsia="Times New Roman" w:hAnsi="Arial" w:cs="Arial"/>
      <w:sz w:val="20"/>
      <w:szCs w:val="20"/>
    </w:rPr>
  </w:style>
  <w:style w:type="character" w:customStyle="1" w:styleId="Heading6Char">
    <w:name w:val="Heading 6 Char"/>
    <w:basedOn w:val="DefaultParagraphFont"/>
    <w:link w:val="Heading6"/>
    <w:rsid w:val="006414D2"/>
    <w:rPr>
      <w:rFonts w:ascii="Arial" w:eastAsia="Times New Roman" w:hAnsi="Arial" w:cs="Arial"/>
      <w:sz w:val="20"/>
      <w:szCs w:val="20"/>
    </w:rPr>
  </w:style>
  <w:style w:type="character" w:customStyle="1" w:styleId="Heading7Char">
    <w:name w:val="Heading 7 Char"/>
    <w:basedOn w:val="DefaultParagraphFont"/>
    <w:link w:val="Heading7"/>
    <w:rsid w:val="006414D2"/>
    <w:rPr>
      <w:rFonts w:ascii="Arial" w:eastAsia="Times New Roman" w:hAnsi="Arial" w:cs="Arial"/>
      <w:sz w:val="20"/>
      <w:szCs w:val="20"/>
    </w:rPr>
  </w:style>
  <w:style w:type="character" w:customStyle="1" w:styleId="Heading8Char">
    <w:name w:val="Heading 8 Char"/>
    <w:basedOn w:val="DefaultParagraphFont"/>
    <w:link w:val="Heading8"/>
    <w:rsid w:val="006414D2"/>
    <w:rPr>
      <w:rFonts w:ascii="Arial" w:eastAsia="Times New Roman" w:hAnsi="Arial" w:cs="Arial"/>
      <w:sz w:val="20"/>
      <w:szCs w:val="20"/>
    </w:rPr>
  </w:style>
  <w:style w:type="character" w:customStyle="1" w:styleId="Heading9Char">
    <w:name w:val="Heading 9 Char"/>
    <w:basedOn w:val="DefaultParagraphFont"/>
    <w:link w:val="Heading9"/>
    <w:rsid w:val="006414D2"/>
    <w:rPr>
      <w:rFonts w:ascii="Arial" w:eastAsia="Times New Roman" w:hAnsi="Arial" w:cs="Arial"/>
      <w:sz w:val="20"/>
      <w:szCs w:val="20"/>
    </w:rPr>
  </w:style>
  <w:style w:type="paragraph" w:customStyle="1" w:styleId="Indent2">
    <w:name w:val="Indent 2"/>
    <w:basedOn w:val="Normal"/>
    <w:rsid w:val="006414D2"/>
    <w:pPr>
      <w:spacing w:after="240" w:line="240" w:lineRule="auto"/>
      <w:ind w:left="737"/>
    </w:pPr>
    <w:rPr>
      <w:rFonts w:ascii="Arial" w:eastAsia="Times New Roman" w:hAnsi="Arial" w:cs="Arial"/>
      <w:sz w:val="20"/>
      <w:szCs w:val="20"/>
    </w:rPr>
  </w:style>
  <w:style w:type="character" w:styleId="EndnoteReference">
    <w:name w:val="endnote reference"/>
    <w:rsid w:val="006414D2"/>
    <w:rPr>
      <w:vertAlign w:val="superscript"/>
    </w:rPr>
  </w:style>
  <w:style w:type="paragraph" w:styleId="EndnoteText">
    <w:name w:val="endnote text"/>
    <w:basedOn w:val="Normal"/>
    <w:link w:val="EndnoteTextChar"/>
    <w:rsid w:val="006414D2"/>
    <w:pPr>
      <w:spacing w:after="0" w:line="240" w:lineRule="auto"/>
    </w:pPr>
    <w:rPr>
      <w:rFonts w:ascii="Arial" w:eastAsia="Times New Roman" w:hAnsi="Arial" w:cs="Arial"/>
      <w:sz w:val="20"/>
      <w:szCs w:val="20"/>
    </w:rPr>
  </w:style>
  <w:style w:type="character" w:customStyle="1" w:styleId="EndnoteTextChar">
    <w:name w:val="Endnote Text Char"/>
    <w:basedOn w:val="DefaultParagraphFont"/>
    <w:link w:val="EndnoteText"/>
    <w:rsid w:val="006414D2"/>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519636">
      <w:bodyDiv w:val="1"/>
      <w:marLeft w:val="0"/>
      <w:marRight w:val="0"/>
      <w:marTop w:val="0"/>
      <w:marBottom w:val="0"/>
      <w:divBdr>
        <w:top w:val="none" w:sz="0" w:space="0" w:color="auto"/>
        <w:left w:val="none" w:sz="0" w:space="0" w:color="auto"/>
        <w:bottom w:val="none" w:sz="0" w:space="0" w:color="auto"/>
        <w:right w:val="none" w:sz="0" w:space="0" w:color="auto"/>
      </w:divBdr>
    </w:div>
    <w:div w:id="846561089">
      <w:bodyDiv w:val="1"/>
      <w:marLeft w:val="0"/>
      <w:marRight w:val="0"/>
      <w:marTop w:val="0"/>
      <w:marBottom w:val="0"/>
      <w:divBdr>
        <w:top w:val="none" w:sz="0" w:space="0" w:color="auto"/>
        <w:left w:val="none" w:sz="0" w:space="0" w:color="auto"/>
        <w:bottom w:val="none" w:sz="0" w:space="0" w:color="auto"/>
        <w:right w:val="none" w:sz="0" w:space="0" w:color="auto"/>
      </w:divBdr>
    </w:div>
    <w:div w:id="1608385566">
      <w:bodyDiv w:val="1"/>
      <w:marLeft w:val="0"/>
      <w:marRight w:val="0"/>
      <w:marTop w:val="0"/>
      <w:marBottom w:val="0"/>
      <w:divBdr>
        <w:top w:val="none" w:sz="0" w:space="0" w:color="auto"/>
        <w:left w:val="none" w:sz="0" w:space="0" w:color="auto"/>
        <w:bottom w:val="none" w:sz="0" w:space="0" w:color="auto"/>
        <w:right w:val="none" w:sz="0" w:space="0" w:color="auto"/>
      </w:divBdr>
    </w:div>
    <w:div w:id="182701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393F501A15A41B4C208406A9AFD87" ma:contentTypeVersion="7" ma:contentTypeDescription="Create a new document." ma:contentTypeScope="" ma:versionID="317e3204116ab13a0d5083b2e97f7288">
  <xsd:schema xmlns:xsd="http://www.w3.org/2001/XMLSchema" xmlns:xs="http://www.w3.org/2001/XMLSchema" xmlns:p="http://schemas.microsoft.com/office/2006/metadata/properties" xmlns:ns3="25f46641-1cce-44c7-9717-255e5a0e07da" xmlns:ns4="70c1722b-6d15-4be7-9fc2-732a27267046" targetNamespace="http://schemas.microsoft.com/office/2006/metadata/properties" ma:root="true" ma:fieldsID="b32ba9e397f793507763824df9f65053" ns3:_="" ns4:_="">
    <xsd:import namespace="25f46641-1cce-44c7-9717-255e5a0e07da"/>
    <xsd:import namespace="70c1722b-6d15-4be7-9fc2-732a272670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46641-1cce-44c7-9717-255e5a0e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c1722b-6d15-4be7-9fc2-732a272670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62274-08E0-40CF-8AF5-8945FDDA63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AEDEE9-7912-4BD2-B513-1FA3B71396D3}">
  <ds:schemaRefs>
    <ds:schemaRef ds:uri="http://schemas.microsoft.com/sharepoint/v3/contenttype/forms"/>
  </ds:schemaRefs>
</ds:datastoreItem>
</file>

<file path=customXml/itemProps3.xml><?xml version="1.0" encoding="utf-8"?>
<ds:datastoreItem xmlns:ds="http://schemas.openxmlformats.org/officeDocument/2006/customXml" ds:itemID="{1391EBCC-FED8-46F5-A808-4493BE337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46641-1cce-44c7-9717-255e5a0e07da"/>
    <ds:schemaRef ds:uri="70c1722b-6d15-4be7-9fc2-732a27267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70784-194D-47B9-8B2D-2E18F4DA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8</Pages>
  <Words>1061</Words>
  <Characters>19106</Characters>
  <Application>Microsoft Office Word</Application>
  <DocSecurity>0</DocSecurity>
  <Lines>1061</Lines>
  <Paragraphs>1061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Dalton</dc:creator>
  <cp:keywords/>
  <dc:description/>
  <cp:lastModifiedBy>Andrea Manson</cp:lastModifiedBy>
  <cp:revision>7</cp:revision>
  <cp:lastPrinted>2020-08-06T06:32:00Z</cp:lastPrinted>
  <dcterms:created xsi:type="dcterms:W3CDTF">2022-11-10T06:39:00Z</dcterms:created>
  <dcterms:modified xsi:type="dcterms:W3CDTF">2022-11-21T03:23:00Z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41e45d-23b2-4b9b-8824-4250be488857_Enabled">
    <vt:lpwstr>True</vt:lpwstr>
  </property>
  <property fmtid="{D5CDD505-2E9C-101B-9397-08002B2CF9AE}" pid="3" name="MSIP_Label_7a41e45d-23b2-4b9b-8824-4250be488857_SiteId">
    <vt:lpwstr>dddffba0-6c17-4f34-9748-3fa5e08cc366</vt:lpwstr>
  </property>
  <property fmtid="{D5CDD505-2E9C-101B-9397-08002B2CF9AE}" pid="4" name="MSIP_Label_7a41e45d-23b2-4b9b-8824-4250be488857_Owner">
    <vt:lpwstr>Andrew.Cunningham@cba.com.au</vt:lpwstr>
  </property>
  <property fmtid="{D5CDD505-2E9C-101B-9397-08002B2CF9AE}" pid="5" name="MSIP_Label_7a41e45d-23b2-4b9b-8824-4250be488857_SetDate">
    <vt:lpwstr>2020-04-09T00:22:06.8158334Z</vt:lpwstr>
  </property>
  <property fmtid="{D5CDD505-2E9C-101B-9397-08002B2CF9AE}" pid="6" name="MSIP_Label_7a41e45d-23b2-4b9b-8824-4250be488857_Name">
    <vt:lpwstr>Confidential</vt:lpwstr>
  </property>
  <property fmtid="{D5CDD505-2E9C-101B-9397-08002B2CF9AE}" pid="7" name="MSIP_Label_7a41e45d-23b2-4b9b-8824-4250be488857_Application">
    <vt:lpwstr>Microsoft Azure Information Protection</vt:lpwstr>
  </property>
  <property fmtid="{D5CDD505-2E9C-101B-9397-08002B2CF9AE}" pid="8" name="MSIP_Label_7a41e45d-23b2-4b9b-8824-4250be488857_ActionId">
    <vt:lpwstr>6bf1ea2f-c0e2-4722-907c-63dd1e4940c3</vt:lpwstr>
  </property>
  <property fmtid="{D5CDD505-2E9C-101B-9397-08002B2CF9AE}" pid="9" name="MSIP_Label_7a41e45d-23b2-4b9b-8824-4250be488857_Extended_MSFT_Method">
    <vt:lpwstr>Manual</vt:lpwstr>
  </property>
  <property fmtid="{D5CDD505-2E9C-101B-9397-08002B2CF9AE}" pid="10" name="Sensitivity">
    <vt:lpwstr>Confidential</vt:lpwstr>
  </property>
  <property fmtid="{D5CDD505-2E9C-101B-9397-08002B2CF9AE}" pid="11" name="ContentTypeId">
    <vt:lpwstr>0x0101009CB393F501A15A41B4C208406A9AFD87</vt:lpwstr>
  </property>
</Properties>
</file>